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0E" w:rsidRDefault="00C1000E" w:rsidP="00C1000E">
      <w:pPr>
        <w:ind w:left="4820"/>
        <w:rPr>
          <w:rFonts w:ascii="Times New Roman" w:hAnsi="Times New Roman" w:cs="Times New Roman"/>
          <w:sz w:val="24"/>
          <w:szCs w:val="24"/>
        </w:rPr>
      </w:pPr>
      <w:r w:rsidRPr="00B323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1000E" w:rsidRPr="00B3239E" w:rsidRDefault="00C1000E" w:rsidP="00C1000E">
      <w:pPr>
        <w:ind w:left="4820"/>
        <w:rPr>
          <w:rFonts w:ascii="Times New Roman" w:hAnsi="Times New Roman" w:cs="Times New Roman"/>
          <w:sz w:val="24"/>
          <w:szCs w:val="24"/>
        </w:rPr>
      </w:pPr>
      <w:r w:rsidRPr="00B3239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000E" w:rsidRPr="00B3239E" w:rsidRDefault="00C1000E" w:rsidP="00C1000E">
      <w:pPr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B3239E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Pr="00B3239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1000E" w:rsidRDefault="00C1000E" w:rsidP="00AA53F7">
      <w:pPr>
        <w:tabs>
          <w:tab w:val="center" w:pos="7438"/>
        </w:tabs>
        <w:ind w:left="4956"/>
        <w:rPr>
          <w:rFonts w:ascii="Times New Roman" w:hAnsi="Times New Roman" w:cs="Times New Roman"/>
          <w:sz w:val="24"/>
          <w:szCs w:val="24"/>
        </w:rPr>
      </w:pPr>
      <w:r w:rsidRPr="00B323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3239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32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00E" w:rsidRDefault="00C1000E" w:rsidP="00C1000E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C1000E" w:rsidRPr="00B17470" w:rsidRDefault="00C1000E" w:rsidP="00C1000E">
      <w:pPr>
        <w:spacing w:after="120"/>
        <w:ind w:firstLine="567"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0" w:name="Par29"/>
      <w:bookmarkEnd w:id="0"/>
      <w:r>
        <w:rPr>
          <w:rFonts w:ascii="Times New Roman" w:hAnsi="Times New Roman" w:cs="Times New Roman"/>
          <w:kern w:val="32"/>
          <w:sz w:val="24"/>
          <w:szCs w:val="24"/>
        </w:rPr>
        <w:t xml:space="preserve">1. </w:t>
      </w:r>
      <w:r w:rsidRPr="00B17470">
        <w:rPr>
          <w:rFonts w:ascii="Times New Roman" w:hAnsi="Times New Roman" w:cs="Times New Roman"/>
          <w:kern w:val="32"/>
          <w:sz w:val="24"/>
          <w:szCs w:val="24"/>
        </w:rPr>
        <w:t xml:space="preserve">В преамбуле постановления слова «Распоряжения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 </w:t>
      </w:r>
      <w:proofErr w:type="gramStart"/>
      <w:r w:rsidRPr="00B17470">
        <w:rPr>
          <w:rFonts w:ascii="Times New Roman" w:hAnsi="Times New Roman" w:cs="Times New Roman"/>
          <w:kern w:val="32"/>
          <w:sz w:val="24"/>
          <w:szCs w:val="24"/>
        </w:rPr>
        <w:t>заменить на слова</w:t>
      </w:r>
      <w:proofErr w:type="gramEnd"/>
      <w:r w:rsidRPr="00B17470">
        <w:rPr>
          <w:rFonts w:ascii="Times New Roman" w:hAnsi="Times New Roman" w:cs="Times New Roman"/>
          <w:kern w:val="32"/>
          <w:sz w:val="24"/>
          <w:szCs w:val="24"/>
        </w:rPr>
        <w:t xml:space="preserve"> «Распоряжения Правительства Российской Федерации от 17.08.2024 № 2233-р «Об утверждении Стратегии реализации молодежной политики в Российской Федерации до 2030 года»</w:t>
      </w:r>
      <w:r>
        <w:rPr>
          <w:rFonts w:ascii="Times New Roman" w:hAnsi="Times New Roman" w:cs="Times New Roman"/>
          <w:kern w:val="32"/>
          <w:sz w:val="24"/>
          <w:szCs w:val="24"/>
        </w:rPr>
        <w:t>.</w:t>
      </w:r>
    </w:p>
    <w:p w:rsidR="00C1000E" w:rsidRPr="00B17470" w:rsidRDefault="00C1000E" w:rsidP="00C100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2.   </w:t>
      </w:r>
      <w:r w:rsidRPr="00B17470">
        <w:rPr>
          <w:rFonts w:ascii="Times New Roman" w:hAnsi="Times New Roman" w:cs="Times New Roman"/>
          <w:kern w:val="32"/>
          <w:sz w:val="24"/>
          <w:szCs w:val="24"/>
        </w:rPr>
        <w:t>Приложение к постановлению изложить в следующей</w:t>
      </w:r>
      <w:r w:rsidRPr="00B17470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1000E" w:rsidRDefault="00C1000E" w:rsidP="00C1000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1000E" w:rsidRPr="00B3319D" w:rsidRDefault="00C1000E" w:rsidP="00C1000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3319D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1000E" w:rsidRPr="00B3319D" w:rsidRDefault="00C1000E" w:rsidP="00C100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B35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потенциала молодежи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Петушинском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районе</w:t>
      </w:r>
      <w:r w:rsidRPr="000B35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72"/>
      </w:tblGrid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B3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потенциала молодежи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0B3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закон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Pr="00B75C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489-ФЗ «</w:t>
            </w:r>
            <w:r w:rsidRPr="00B75C9E">
              <w:rPr>
                <w:rFonts w:ascii="Times New Roman" w:hAnsi="Times New Roman" w:cs="Times New Roman"/>
                <w:sz w:val="24"/>
                <w:szCs w:val="24"/>
              </w:rPr>
              <w:t>О молодежной политике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21723">
              <w:rPr>
                <w:rFonts w:ascii="Times New Roman" w:hAnsi="Times New Roman" w:cs="Times New Roman"/>
                <w:sz w:val="24"/>
                <w:szCs w:val="24"/>
              </w:rPr>
              <w:t xml:space="preserve">-Распоряжение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217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723">
              <w:rPr>
                <w:rFonts w:ascii="Times New Roman" w:hAnsi="Times New Roman" w:cs="Times New Roman"/>
                <w:sz w:val="24"/>
                <w:szCs w:val="24"/>
              </w:rPr>
              <w:t xml:space="preserve">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  <w:r w:rsidRPr="00A21723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реализации молодежной политики в Российской Федерации до 2030 года</w:t>
            </w:r>
            <w:r w:rsidRPr="00A2172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-Закон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от 07.05.2007 № 50-ОЗ «О молодежной политике во Владимирской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00E" w:rsidRDefault="00C1000E" w:rsidP="00BA01CA">
            <w:pPr>
              <w:spacing w:after="12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BF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 w:rsidRPr="00250BF3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250B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17.12.2019 N 115/14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0BF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(одобрении) стратегии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0BF3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250B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0B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период до 2030 года»</w:t>
            </w:r>
            <w:r w:rsidR="00437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1500E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</w:t>
            </w:r>
            <w:proofErr w:type="spellStart"/>
            <w:r w:rsidRPr="00F1500E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00E" w:rsidRPr="00594A8C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03.09.2019 № 37/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>О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аботке  муниципальной программы «Развитие потенциала молодежи </w:t>
            </w:r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500E">
              <w:rPr>
                <w:rFonts w:ascii="Times New Roman" w:hAnsi="Times New Roman" w:cs="Times New Roman"/>
                <w:sz w:val="24"/>
                <w:szCs w:val="24"/>
              </w:rPr>
              <w:t>Петушинском</w:t>
            </w:r>
            <w:proofErr w:type="spellEnd"/>
            <w:r w:rsidRPr="00F1500E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59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A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Владимирской области (далее - МКУ «</w:t>
            </w:r>
            <w:r w:rsidRPr="00594A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098A">
              <w:rPr>
                <w:rFonts w:ascii="Times New Roman" w:hAnsi="Times New Roman" w:cs="Times New Roman"/>
                <w:sz w:val="24"/>
                <w:szCs w:val="24"/>
              </w:rPr>
              <w:t xml:space="preserve">ысшие и </w:t>
            </w:r>
            <w:proofErr w:type="spellStart"/>
            <w:r w:rsidRPr="0078098A">
              <w:rPr>
                <w:rFonts w:ascii="Times New Roman" w:hAnsi="Times New Roman" w:cs="Times New Roman"/>
                <w:sz w:val="24"/>
                <w:szCs w:val="24"/>
              </w:rPr>
              <w:t>среднепрофессиональные</w:t>
            </w:r>
            <w:proofErr w:type="spellEnd"/>
            <w:r w:rsidRPr="0078098A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заведения, образовательные учреждения, общественные организации и </w:t>
            </w:r>
            <w:r w:rsidRPr="0078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объединения, осуществляющие деятельность на территории </w:t>
            </w:r>
            <w:proofErr w:type="spellStart"/>
            <w:r w:rsidRPr="0078098A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78098A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 участию в мероприятиях приглашаются дети, подростки, молодежь, молодые семьи, проживающие, обучающиеся или работающие на территории </w:t>
            </w:r>
            <w:proofErr w:type="spellStart"/>
            <w:r w:rsidRPr="0078098A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78098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реализации прав и интересов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профилактика асоциальных явлений в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ормирование активной гражданской позиции, правовой и политической культуры молодежи, патриотическое воспитание молодежи, поддержка молодежи, молодежных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молодой семьи.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работа по обеспечению эффективной молодежной политики.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1.Увеличение к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мероприятий в сфере молодежной политики.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2.Увеличение к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молодежи, принимающих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к</w:t>
            </w:r>
            <w:r w:rsidRPr="0060649A">
              <w:rPr>
                <w:rFonts w:ascii="Times New Roman" w:hAnsi="Times New Roman" w:cs="Times New Roman"/>
                <w:sz w:val="24"/>
                <w:szCs w:val="24"/>
              </w:rPr>
              <w:t>оличество публикаций молодежной тематики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этапы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реализации: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рограммы, в том числе по годам и источникам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(далее – районный бюджет).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Общий объем 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обеспечения Программы на </w:t>
            </w:r>
            <w:r w:rsidRPr="009123F5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1000E" w:rsidRPr="00C51B3B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бюджета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1000E" w:rsidRPr="00A57B33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 xml:space="preserve"> год – 200,0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>- 200,0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00E" w:rsidRPr="00A57B33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 xml:space="preserve"> год – 200,0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>- 200,0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A5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00E" w:rsidRPr="005E4852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852">
              <w:rPr>
                <w:rFonts w:ascii="Times New Roman" w:hAnsi="Times New Roman" w:cs="Times New Roman"/>
                <w:sz w:val="24"/>
                <w:szCs w:val="24"/>
              </w:rPr>
              <w:t xml:space="preserve"> год – 200,0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2">
              <w:rPr>
                <w:rFonts w:ascii="Times New Roman" w:hAnsi="Times New Roman" w:cs="Times New Roman"/>
                <w:sz w:val="24"/>
                <w:szCs w:val="24"/>
              </w:rPr>
              <w:t xml:space="preserve">-из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5E4852">
              <w:rPr>
                <w:rFonts w:ascii="Times New Roman" w:hAnsi="Times New Roman" w:cs="Times New Roman"/>
                <w:sz w:val="24"/>
                <w:szCs w:val="24"/>
              </w:rPr>
              <w:t>- 200,0 тыс. руб.;</w:t>
            </w:r>
          </w:p>
          <w:p w:rsidR="00C1000E" w:rsidRPr="00F90E3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90E3D">
              <w:rPr>
                <w:rFonts w:ascii="Times New Roman" w:hAnsi="Times New Roman" w:cs="Times New Roman"/>
                <w:sz w:val="24"/>
                <w:szCs w:val="24"/>
              </w:rPr>
              <w:t xml:space="preserve">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0E3D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3D">
              <w:rPr>
                <w:rFonts w:ascii="Times New Roman" w:hAnsi="Times New Roman" w:cs="Times New Roman"/>
                <w:sz w:val="24"/>
                <w:szCs w:val="24"/>
              </w:rPr>
              <w:t xml:space="preserve">-из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F90E3D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0E3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1000E" w:rsidRPr="00B9600C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00C">
              <w:rPr>
                <w:rFonts w:ascii="Times New Roman" w:hAnsi="Times New Roman" w:cs="Times New Roman"/>
                <w:sz w:val="24"/>
                <w:szCs w:val="24"/>
              </w:rPr>
              <w:t xml:space="preserve">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00C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 средств районного бюджета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00C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1000E" w:rsidRPr="00970A8A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 xml:space="preserve">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-из средств районного бюджета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1000E" w:rsidRPr="00970A8A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 xml:space="preserve">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-из средств районного бюджета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A8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финансирования мероприятий п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рограммы ежегодно подлежат уточнению при формировании бюджета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</w:p>
        </w:tc>
      </w:tr>
      <w:tr w:rsidR="00C1000E" w:rsidRPr="00B3319D" w:rsidTr="00BA01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CF29C2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будут достигнуты следующие конечные результаты:</w:t>
            </w:r>
          </w:p>
          <w:p w:rsidR="00C1000E" w:rsidRPr="00CF29C2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вложени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CF29C2">
              <w:rPr>
                <w:rFonts w:ascii="Times New Roman" w:hAnsi="Times New Roman" w:cs="Times New Roman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активности, компетентности и профессионализма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получить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дивидендов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вклада молодежи в социально-экономическое развитие </w:t>
            </w:r>
            <w:proofErr w:type="spellStart"/>
            <w:r w:rsidRPr="00CF29C2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C1000E" w:rsidRPr="00B3319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 молодежи о реализации молодежной политики позволит увеличить количество молодежи, принимающей участие в мероприятиях на территории </w:t>
            </w:r>
            <w:proofErr w:type="spellStart"/>
            <w:r w:rsidRPr="00CF29C2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CF29C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000E" w:rsidRDefault="00C1000E" w:rsidP="00C1000E">
      <w:pPr>
        <w:spacing w:after="12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1000E" w:rsidRDefault="00C1000E" w:rsidP="00C1000E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программы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B3319D">
        <w:rPr>
          <w:rFonts w:ascii="Times New Roman" w:hAnsi="Times New Roman" w:cs="Times New Roman"/>
          <w:sz w:val="24"/>
          <w:szCs w:val="24"/>
        </w:rPr>
        <w:t xml:space="preserve"> Владимирской области реализация молодежной политики является направлением социальной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3319D">
        <w:rPr>
          <w:rFonts w:ascii="Times New Roman" w:hAnsi="Times New Roman" w:cs="Times New Roman"/>
          <w:sz w:val="24"/>
          <w:szCs w:val="24"/>
        </w:rPr>
        <w:t xml:space="preserve">. За время реализации были заложены организационные основы работы с детьми, подростками и молодежью, определены приоритетные направления, успешно отработаны механизмы ее реализации. 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В настоящее время с учетом анализа проводимой работы в молодежной сфере, рассмотрения основных тенденций в молодежной среде, результатов регулярных социологических исследований имеется </w:t>
      </w:r>
      <w:proofErr w:type="gramStart"/>
      <w:r w:rsidRPr="00B3319D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B3319D">
        <w:rPr>
          <w:rFonts w:ascii="Times New Roman" w:hAnsi="Times New Roman" w:cs="Times New Roman"/>
          <w:sz w:val="24"/>
          <w:szCs w:val="24"/>
        </w:rPr>
        <w:t xml:space="preserve"> и возможность принятия программы как инструмента координации в области реализации мер по работе с детьми, подростками и молодежью и совершенствования проводимой работы.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19D">
        <w:rPr>
          <w:rFonts w:ascii="Times New Roman" w:hAnsi="Times New Roman" w:cs="Times New Roman"/>
          <w:sz w:val="24"/>
          <w:szCs w:val="24"/>
        </w:rPr>
        <w:t>Именно дети, подростки и молодежь являются главными объектами и субъектами социализации, воспитания и образования, ведь именно на этот возрастной период приходится процесс активного социального становления, получения образования, начало трудовой деятельности, служба в Вооруженных Силах Российской Федерации, создание семьи, воспитание детей, адаптация к различным формам социальных отношений, то есть реализация молодыми гражданами своих прав, интересов, обязанностей и жизненного потенциала.</w:t>
      </w:r>
      <w:proofErr w:type="gramEnd"/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Среди молодежи могут быть выделены отдельные группы по возрастным, социально-профессиональным и иным признакам, организация работы с которыми требует особой специфики. Молодежь должна рассматриваться, с одной стороны, как самостоятельная социально-демографическая группа, с другой стороны, как неотъемлемая часть общества, потенциал и роль которой необходимо учитывать во всех сферах жизнедеятельности общества.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Рассматривая молодежь как особую социальную группу, то здесь характерны следующие положительные черты: активность, свобода мышления и социального выбора, мобильность, прагматичность, оптимистичность. Среди негативных выделяют такие социально-психологические качества молодежи, как: неопытность, подверженность чужому влиянию, </w:t>
      </w:r>
      <w:r w:rsidRPr="00B3319D">
        <w:rPr>
          <w:rFonts w:ascii="Times New Roman" w:hAnsi="Times New Roman" w:cs="Times New Roman"/>
          <w:sz w:val="24"/>
          <w:szCs w:val="24"/>
        </w:rPr>
        <w:lastRenderedPageBreak/>
        <w:t>зависимость от родителей, окружающих, модных социальных течений, в том числе негативных - ксенофобия и экстремизм.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19D">
        <w:rPr>
          <w:rFonts w:ascii="Times New Roman" w:hAnsi="Times New Roman" w:cs="Times New Roman"/>
          <w:sz w:val="24"/>
          <w:szCs w:val="24"/>
        </w:rPr>
        <w:t>К позитивным тенденциям, требующим целенаправленного развития через реализацию настоящей программы, можно отнести следующие:</w:t>
      </w:r>
      <w:proofErr w:type="gramEnd"/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в молодежной среде созревает мощный инновационный потенциал, увеличивается число молодых людей, выбирающих личную инициативу как главный способ решения своих проблем;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растет самостоятельность и практичность, ответственность за свою судьбу, мобильность, восприимчивость к новому;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- меняется отношение к образованию -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увеличивается престижность качественного образования и профессиональной подготовки;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растет заинтересованность молодых людей в сохранении своего здоровья;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современная молодежь стала полноправной частью международного молодежного сообщества, активно интегрируется в экономические, политические и гуманитарные процессы.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Для того чтобы эти тенденции стали доминирующими, потенциал и активность молодежи были направлены на созидание, творчество и общественно полезную деятельность, необходимо:</w:t>
      </w:r>
    </w:p>
    <w:p w:rsidR="00C1000E" w:rsidRPr="00B3319D" w:rsidRDefault="00C1000E" w:rsidP="00C100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создание системы поддержки социально значимых инициатив молодежи;</w:t>
      </w:r>
    </w:p>
    <w:p w:rsidR="00C1000E" w:rsidRPr="00B3319D" w:rsidRDefault="00C1000E" w:rsidP="00C100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проведение активной воспитательной и информационной работы;</w:t>
      </w:r>
    </w:p>
    <w:p w:rsidR="00C1000E" w:rsidRPr="00B3319D" w:rsidRDefault="00C1000E" w:rsidP="00C100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развитие услуг и помощи специализированных служб, способствующих полноценной интеграции молодых людей в общество.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Подростки и молодежь продолжают оставаться группой риска с точки зрения благополучия: на рынке труда, в сфере правонарушений и проблем с физиологическим и психическим здоровьем.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3319D">
        <w:rPr>
          <w:rFonts w:ascii="Times New Roman" w:hAnsi="Times New Roman" w:cs="Times New Roman"/>
          <w:sz w:val="24"/>
          <w:szCs w:val="24"/>
        </w:rPr>
        <w:t>риоритетной необходимость</w:t>
      </w:r>
      <w:r>
        <w:rPr>
          <w:rFonts w:ascii="Times New Roman" w:hAnsi="Times New Roman" w:cs="Times New Roman"/>
          <w:sz w:val="24"/>
          <w:szCs w:val="24"/>
        </w:rPr>
        <w:t>ю является</w:t>
      </w:r>
      <w:r w:rsidRPr="00B3319D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 xml:space="preserve"> работы с детьми, подростками и молодежью по пропаганде здорового образа жизни и массовых видов спорта, профилактике асоциальных явлений в молодежной среде,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позиции, правовой и политической культуры, патриотическо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>, популяризаци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319D">
        <w:rPr>
          <w:rFonts w:ascii="Times New Roman" w:hAnsi="Times New Roman" w:cs="Times New Roman"/>
          <w:sz w:val="24"/>
          <w:szCs w:val="24"/>
        </w:rPr>
        <w:t xml:space="preserve"> и просвещени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 xml:space="preserve"> в области краеведения и истории, поддержки молодежных инициатив и молодой семьи,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3319D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 xml:space="preserve"> молодежи.</w:t>
      </w:r>
      <w:proofErr w:type="gramEnd"/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Для преодоления сложившейся ситуации предлагается продолжить применение комплексного подхода к решению обозначенных проблем в сфере работы с детьми, подростками и молодежью.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В настоящее время в сфере молодежной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 деятельность МКУ «Управление образования, молодежной политики и патриотического воспитания».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Представляется крайне важным сохранить положительную динамику в сфере работы с детьми и молодежью и скорректировать дальнейшую работу с учетом достигнутых результатов и выбранных приоритетов.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В центре внимания также остается профилактика асоциального поведения среди подростков и молодежи. Важную роль играет организация их свободного времени и содержательного досуга. Социальная значимость проблем, связанных с процессами успешной социализации и самореализации молодежи, использования ее позитивной активности для </w:t>
      </w:r>
      <w:r w:rsidRPr="00B3319D">
        <w:rPr>
          <w:rFonts w:ascii="Times New Roman" w:hAnsi="Times New Roman" w:cs="Times New Roman"/>
          <w:sz w:val="24"/>
          <w:szCs w:val="24"/>
        </w:rPr>
        <w:lastRenderedPageBreak/>
        <w:t>обеспечения стабильного развития государства и общества, обусловливает необходимость их решения программно-целевым методом на основе реализации системы мероприятий.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Данная программа предлагает новый этап реализации молодежной политики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3319D">
        <w:rPr>
          <w:rFonts w:ascii="Times New Roman" w:hAnsi="Times New Roman" w:cs="Times New Roman"/>
          <w:sz w:val="24"/>
          <w:szCs w:val="24"/>
        </w:rPr>
        <w:t xml:space="preserve"> до 202</w:t>
      </w:r>
      <w:r>
        <w:rPr>
          <w:rFonts w:ascii="Times New Roman" w:hAnsi="Times New Roman" w:cs="Times New Roman"/>
          <w:sz w:val="24"/>
          <w:szCs w:val="24"/>
        </w:rPr>
        <w:t xml:space="preserve">7 года </w:t>
      </w:r>
      <w:r w:rsidRPr="00B3319D">
        <w:rPr>
          <w:rFonts w:ascii="Times New Roman" w:hAnsi="Times New Roman" w:cs="Times New Roman"/>
          <w:sz w:val="24"/>
          <w:szCs w:val="24"/>
        </w:rPr>
        <w:t>и затрагива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B3319D">
        <w:rPr>
          <w:rFonts w:ascii="Times New Roman" w:hAnsi="Times New Roman" w:cs="Times New Roman"/>
          <w:sz w:val="24"/>
          <w:szCs w:val="24"/>
        </w:rPr>
        <w:t>интересы молодежи, что в целом создает завершенную и слаженную систему мероприятий по работе с молодым поколением.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1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319D">
        <w:rPr>
          <w:rFonts w:ascii="Times New Roman" w:hAnsi="Times New Roman" w:cs="Times New Roman"/>
          <w:sz w:val="24"/>
          <w:szCs w:val="24"/>
        </w:rPr>
        <w:t>, реализуя программу, осуществит целенаправленное вложение сре</w:t>
      </w:r>
      <w:proofErr w:type="gramStart"/>
      <w:r w:rsidRPr="00B3319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3319D">
        <w:rPr>
          <w:rFonts w:ascii="Times New Roman" w:hAnsi="Times New Roman" w:cs="Times New Roman"/>
          <w:sz w:val="24"/>
          <w:szCs w:val="24"/>
        </w:rPr>
        <w:t xml:space="preserve">овышение социальной активности, компетентности и профессионализма молодежи, получив в качестве дивидендов усиление вклада молодежи в социально-экономическое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319D">
        <w:rPr>
          <w:rFonts w:ascii="Times New Roman" w:hAnsi="Times New Roman" w:cs="Times New Roman"/>
          <w:sz w:val="24"/>
          <w:szCs w:val="24"/>
        </w:rPr>
        <w:t>.</w:t>
      </w:r>
    </w:p>
    <w:p w:rsidR="00C1000E" w:rsidRDefault="00C1000E" w:rsidP="00C1000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II. </w:t>
      </w:r>
      <w:r w:rsidRPr="00656BE6">
        <w:rPr>
          <w:rFonts w:ascii="Times New Roman" w:hAnsi="Times New Roman" w:cs="Times New Roman"/>
          <w:sz w:val="24"/>
          <w:szCs w:val="24"/>
        </w:rPr>
        <w:t>Приоритеты,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BE6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программы определяются исходя из Стратегии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56BE6"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 w:rsidRPr="00656BE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программы: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62BC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и становление</w:t>
      </w:r>
      <w:r w:rsidRPr="006862BC">
        <w:rPr>
          <w:rFonts w:ascii="Times New Roman" w:hAnsi="Times New Roman" w:cs="Times New Roman"/>
          <w:sz w:val="24"/>
          <w:szCs w:val="24"/>
        </w:rPr>
        <w:t xml:space="preserve"> свободной, интеллектуально развитой, духовно богатой, физически здоровой, творчески мыслящей личности, обладающей прочными базовыми знаниями, ориентированной на общечеловеческие нравственные ценности, способной к успешной самореализации в условиях современного общества.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Pr="001E5726">
        <w:rPr>
          <w:rFonts w:ascii="Times New Roman" w:hAnsi="Times New Roman" w:cs="Times New Roman"/>
          <w:sz w:val="24"/>
          <w:szCs w:val="24"/>
        </w:rPr>
        <w:t>заимодействие с молодежными и детскими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организациями.</w:t>
      </w:r>
    </w:p>
    <w:p w:rsidR="00C1000E" w:rsidRPr="00C012AF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86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добровольческой деятельности.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 xml:space="preserve">ь программы -  </w:t>
      </w:r>
      <w:r w:rsidRPr="00B3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3319D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реализации прав и интересов молодежи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00E" w:rsidRPr="0078098A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98A">
        <w:rPr>
          <w:rFonts w:ascii="Times New Roman" w:hAnsi="Times New Roman" w:cs="Times New Roman"/>
          <w:sz w:val="24"/>
          <w:szCs w:val="24"/>
        </w:rPr>
        <w:t>1.Пропаганда здорового образа жизни, профилактика асоциальных явлений в молодежной среде.</w:t>
      </w:r>
    </w:p>
    <w:p w:rsidR="00C1000E" w:rsidRPr="0078098A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98A">
        <w:rPr>
          <w:rFonts w:ascii="Times New Roman" w:hAnsi="Times New Roman" w:cs="Times New Roman"/>
          <w:sz w:val="24"/>
          <w:szCs w:val="24"/>
        </w:rPr>
        <w:t>2.Формирование активной гражданской позиции, правовой и политической культуры молодежи, патриотическое воспитание молодежи, поддержка молодежи, молодежных инициатив, молодой семьи.</w:t>
      </w:r>
    </w:p>
    <w:p w:rsidR="00C1000E" w:rsidRPr="0078098A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98A">
        <w:rPr>
          <w:rFonts w:ascii="Times New Roman" w:hAnsi="Times New Roman" w:cs="Times New Roman"/>
          <w:sz w:val="24"/>
          <w:szCs w:val="24"/>
        </w:rPr>
        <w:t>3.Информационно-методическая работа по обеспечению эффективной молодежной политики.</w:t>
      </w:r>
    </w:p>
    <w:p w:rsidR="00C1000E" w:rsidRPr="00FC121F" w:rsidRDefault="00C1000E" w:rsidP="00C1000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FC121F">
        <w:rPr>
          <w:rFonts w:ascii="Times New Roman" w:hAnsi="Times New Roman" w:cs="Times New Roman"/>
          <w:sz w:val="24"/>
          <w:szCs w:val="24"/>
        </w:rPr>
        <w:t>III. Целевые показатели (индикаторы) программы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1.Увеличение к</w:t>
      </w:r>
      <w:r w:rsidRPr="00B3319D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19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в сфере молодежной политики.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2.Увеличение к</w:t>
      </w:r>
      <w:r w:rsidRPr="00B3319D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19D">
        <w:rPr>
          <w:rFonts w:ascii="Times New Roman" w:hAnsi="Times New Roman" w:cs="Times New Roman"/>
          <w:sz w:val="24"/>
          <w:szCs w:val="24"/>
        </w:rPr>
        <w:t xml:space="preserve"> подростков и молодежи, при</w:t>
      </w:r>
      <w:r>
        <w:rPr>
          <w:rFonts w:ascii="Times New Roman" w:hAnsi="Times New Roman" w:cs="Times New Roman"/>
          <w:sz w:val="24"/>
          <w:szCs w:val="24"/>
        </w:rPr>
        <w:t>нимающих участие в мероприятиях.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3.Увеличение к</w:t>
      </w:r>
      <w:r w:rsidRPr="0060649A">
        <w:rPr>
          <w:rFonts w:ascii="Times New Roman" w:hAnsi="Times New Roman" w:cs="Times New Roman"/>
          <w:sz w:val="24"/>
          <w:szCs w:val="24"/>
        </w:rPr>
        <w:t>оличество публи</w:t>
      </w:r>
      <w:r>
        <w:rPr>
          <w:rFonts w:ascii="Times New Roman" w:hAnsi="Times New Roman" w:cs="Times New Roman"/>
          <w:sz w:val="24"/>
          <w:szCs w:val="24"/>
        </w:rPr>
        <w:t>каций молодежной тематики в СМИ.</w:t>
      </w:r>
    </w:p>
    <w:p w:rsidR="00AA53F7" w:rsidRDefault="00AA53F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000E" w:rsidRPr="00123301" w:rsidRDefault="00C1000E" w:rsidP="00C100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1000E" w:rsidRPr="00123301" w:rsidRDefault="00C1000E" w:rsidP="00C1000E">
      <w:pPr>
        <w:rPr>
          <w:rFonts w:ascii="Times New Roman" w:hAnsi="Times New Roman" w:cs="Times New Roman"/>
          <w:sz w:val="24"/>
          <w:szCs w:val="24"/>
        </w:rPr>
      </w:pPr>
      <w:r w:rsidRPr="00123301">
        <w:rPr>
          <w:rFonts w:ascii="Times New Roman" w:hAnsi="Times New Roman" w:cs="Times New Roman"/>
          <w:sz w:val="24"/>
          <w:szCs w:val="24"/>
        </w:rPr>
        <w:t>о целевых показателях (индикаторах)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B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потенциала молодежи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996B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их значениях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1"/>
        <w:gridCol w:w="709"/>
        <w:gridCol w:w="708"/>
        <w:gridCol w:w="709"/>
        <w:gridCol w:w="851"/>
        <w:gridCol w:w="992"/>
        <w:gridCol w:w="709"/>
        <w:gridCol w:w="850"/>
        <w:gridCol w:w="709"/>
        <w:gridCol w:w="709"/>
      </w:tblGrid>
      <w:tr w:rsidR="00C1000E" w:rsidRPr="00123301" w:rsidTr="00BA01CA">
        <w:tc>
          <w:tcPr>
            <w:tcW w:w="1701" w:type="dxa"/>
            <w:vMerge w:val="restart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797" w:type="dxa"/>
            <w:gridSpan w:val="10"/>
          </w:tcPr>
          <w:p w:rsidR="00C1000E" w:rsidRPr="00123301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C1000E" w:rsidRPr="00123301" w:rsidTr="00BA01CA">
        <w:trPr>
          <w:trHeight w:val="1451"/>
        </w:trPr>
        <w:tc>
          <w:tcPr>
            <w:tcW w:w="1701" w:type="dxa"/>
            <w:vMerge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год (отчет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C1E6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proofErr w:type="gramStart"/>
            <w:r w:rsidRPr="004C1E63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1E6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1000E" w:rsidRPr="005E4852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четвер-тый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5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5E4852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85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-той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r w:rsidRPr="00CF4E8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CF4E8B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CF4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F4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F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E8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CF4E8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Восьмой год реализации 2027</w:t>
            </w:r>
          </w:p>
        </w:tc>
      </w:tr>
      <w:tr w:rsidR="00C1000E" w:rsidRPr="00123301" w:rsidTr="00BA01CA">
        <w:trPr>
          <w:trHeight w:val="108"/>
        </w:trPr>
        <w:tc>
          <w:tcPr>
            <w:tcW w:w="170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000E" w:rsidRPr="00123301" w:rsidTr="00BA01CA">
        <w:tc>
          <w:tcPr>
            <w:tcW w:w="170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00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молодежной политики </w:t>
            </w:r>
            <w:r w:rsidRPr="001F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1000E" w:rsidRPr="00123301" w:rsidTr="00BA01CA">
        <w:tc>
          <w:tcPr>
            <w:tcW w:w="1701" w:type="dxa"/>
          </w:tcPr>
          <w:p w:rsidR="00C1000E" w:rsidRPr="00123301" w:rsidRDefault="00C1000E" w:rsidP="00437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01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подростков и молодежи, принимающих участие в мероприятиях</w:t>
            </w:r>
          </w:p>
        </w:tc>
        <w:tc>
          <w:tcPr>
            <w:tcW w:w="567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1000E" w:rsidRPr="008D65EB" w:rsidRDefault="00C1000E" w:rsidP="00BA01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708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85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92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C1000E" w:rsidRPr="00123301" w:rsidTr="00BA01CA">
        <w:tc>
          <w:tcPr>
            <w:tcW w:w="1701" w:type="dxa"/>
          </w:tcPr>
          <w:p w:rsidR="00C1000E" w:rsidRPr="00123301" w:rsidRDefault="00C1000E" w:rsidP="00437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01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тематики</w:t>
            </w:r>
            <w:r w:rsidRPr="00AD0014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567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C1000E" w:rsidRPr="008D65EB" w:rsidRDefault="00C1000E" w:rsidP="00BA01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75">
        <w:rPr>
          <w:rFonts w:ascii="Times New Roman" w:hAnsi="Times New Roman" w:cs="Times New Roman"/>
          <w:sz w:val="24"/>
          <w:szCs w:val="24"/>
        </w:rPr>
        <w:t>Срок реализац</w:t>
      </w:r>
      <w:r>
        <w:rPr>
          <w:rFonts w:ascii="Times New Roman" w:hAnsi="Times New Roman" w:cs="Times New Roman"/>
          <w:sz w:val="24"/>
          <w:szCs w:val="24"/>
        </w:rPr>
        <w:t>ии программы: 20</w:t>
      </w:r>
      <w:r w:rsidRPr="00F150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– 2027</w:t>
      </w:r>
      <w:r w:rsidRPr="00123A7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1000E" w:rsidRPr="007F5D74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74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360B25">
        <w:rPr>
          <w:rFonts w:ascii="Times New Roman" w:hAnsi="Times New Roman" w:cs="Times New Roman"/>
          <w:sz w:val="24"/>
          <w:szCs w:val="24"/>
        </w:rPr>
        <w:t>п</w:t>
      </w:r>
      <w:r w:rsidRPr="007F5D74">
        <w:rPr>
          <w:rFonts w:ascii="Times New Roman" w:hAnsi="Times New Roman" w:cs="Times New Roman"/>
          <w:sz w:val="24"/>
          <w:szCs w:val="24"/>
        </w:rPr>
        <w:t>рограммы будет осуществляться путем ежегодного сопоставления:</w:t>
      </w:r>
    </w:p>
    <w:p w:rsidR="00C1000E" w:rsidRPr="007F5D74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74">
        <w:rPr>
          <w:rFonts w:ascii="Times New Roman" w:hAnsi="Times New Roman" w:cs="Times New Roman"/>
          <w:sz w:val="24"/>
          <w:szCs w:val="24"/>
        </w:rPr>
        <w:t xml:space="preserve">1. Фактических и планируемых значений целевых индикаторов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5D74">
        <w:rPr>
          <w:rFonts w:ascii="Times New Roman" w:hAnsi="Times New Roman" w:cs="Times New Roman"/>
          <w:sz w:val="24"/>
          <w:szCs w:val="24"/>
        </w:rPr>
        <w:t>рограммы.</w:t>
      </w:r>
    </w:p>
    <w:p w:rsidR="00C1000E" w:rsidRPr="007F5D74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74">
        <w:rPr>
          <w:rFonts w:ascii="Times New Roman" w:hAnsi="Times New Roman" w:cs="Times New Roman"/>
          <w:sz w:val="24"/>
          <w:szCs w:val="24"/>
        </w:rPr>
        <w:t xml:space="preserve">2. Фактических и планируемых расходов бюджета округа на реализацию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5D74">
        <w:rPr>
          <w:rFonts w:ascii="Times New Roman" w:hAnsi="Times New Roman" w:cs="Times New Roman"/>
          <w:sz w:val="24"/>
          <w:szCs w:val="24"/>
        </w:rPr>
        <w:t>рограммы и ее основных мероприятий.</w:t>
      </w:r>
    </w:p>
    <w:p w:rsidR="00C1000E" w:rsidRPr="007F5D74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74">
        <w:rPr>
          <w:rFonts w:ascii="Times New Roman" w:hAnsi="Times New Roman" w:cs="Times New Roman"/>
          <w:sz w:val="24"/>
          <w:szCs w:val="24"/>
        </w:rPr>
        <w:t xml:space="preserve">3. Числа выполненных и планируемых мероприятий плана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5D74">
        <w:rPr>
          <w:rFonts w:ascii="Times New Roman" w:hAnsi="Times New Roman" w:cs="Times New Roman"/>
          <w:sz w:val="24"/>
          <w:szCs w:val="24"/>
        </w:rPr>
        <w:t>рограммы.</w:t>
      </w:r>
    </w:p>
    <w:p w:rsidR="00C1000E" w:rsidRDefault="00C1000E" w:rsidP="00C1000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331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3319D">
        <w:rPr>
          <w:rFonts w:ascii="Times New Roman" w:hAnsi="Times New Roman" w:cs="Times New Roman"/>
          <w:sz w:val="24"/>
          <w:szCs w:val="24"/>
        </w:rPr>
        <w:t>арактеристика основных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19D">
        <w:rPr>
          <w:rFonts w:ascii="Times New Roman" w:hAnsi="Times New Roman" w:cs="Times New Roman"/>
          <w:sz w:val="24"/>
          <w:szCs w:val="24"/>
        </w:rPr>
        <w:t>программы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Для достижения целей и решения поставленных задач программы будет реализован комплекс нормативно-правовых, организационных и финансовых мер и мероприятий.</w:t>
      </w:r>
    </w:p>
    <w:p w:rsidR="00C1000E" w:rsidRPr="00EE4D5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lastRenderedPageBreak/>
        <w:t>Состав основных мероприятий программы определен исходя из необходимости достижения ее целей 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Основным исполни</w:t>
      </w:r>
      <w:r>
        <w:rPr>
          <w:rFonts w:ascii="Times New Roman" w:hAnsi="Times New Roman" w:cs="Times New Roman"/>
          <w:sz w:val="24"/>
          <w:szCs w:val="24"/>
        </w:rPr>
        <w:t>телем</w:t>
      </w:r>
      <w:r w:rsidRPr="00B3319D">
        <w:rPr>
          <w:rFonts w:ascii="Times New Roman" w:hAnsi="Times New Roman" w:cs="Times New Roman"/>
          <w:sz w:val="24"/>
          <w:szCs w:val="24"/>
        </w:rPr>
        <w:t xml:space="preserve"> мероприятий данной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19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образования, молодежной политики и патриотического воспитания»</w:t>
      </w:r>
      <w:r w:rsidRPr="00B3319D">
        <w:rPr>
          <w:rFonts w:ascii="Times New Roman" w:hAnsi="Times New Roman" w:cs="Times New Roman"/>
          <w:sz w:val="24"/>
          <w:szCs w:val="24"/>
        </w:rPr>
        <w:t xml:space="preserve">. В реализации мероприятий принимают участие высшие и </w:t>
      </w:r>
      <w:proofErr w:type="spellStart"/>
      <w:r w:rsidRPr="00B3319D">
        <w:rPr>
          <w:rFonts w:ascii="Times New Roman" w:hAnsi="Times New Roman" w:cs="Times New Roman"/>
          <w:sz w:val="24"/>
          <w:szCs w:val="24"/>
        </w:rPr>
        <w:t>среднепрофессиональные</w:t>
      </w:r>
      <w:proofErr w:type="spellEnd"/>
      <w:r w:rsidRPr="00B3319D">
        <w:rPr>
          <w:rFonts w:ascii="Times New Roman" w:hAnsi="Times New Roman" w:cs="Times New Roman"/>
          <w:sz w:val="24"/>
          <w:szCs w:val="24"/>
        </w:rPr>
        <w:t xml:space="preserve"> учебные заведения,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учреждения, </w:t>
      </w:r>
      <w:r w:rsidRPr="00B3319D">
        <w:rPr>
          <w:rFonts w:ascii="Times New Roman" w:hAnsi="Times New Roman" w:cs="Times New Roman"/>
          <w:sz w:val="24"/>
          <w:szCs w:val="24"/>
        </w:rPr>
        <w:t xml:space="preserve">общественные организации и объединения, осуществляющие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319D">
        <w:rPr>
          <w:rFonts w:ascii="Times New Roman" w:hAnsi="Times New Roman" w:cs="Times New Roman"/>
          <w:sz w:val="24"/>
          <w:szCs w:val="24"/>
        </w:rPr>
        <w:t xml:space="preserve">. Мероприятия программы 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19D">
        <w:rPr>
          <w:rFonts w:ascii="Times New Roman" w:hAnsi="Times New Roman" w:cs="Times New Roman"/>
          <w:sz w:val="24"/>
          <w:szCs w:val="24"/>
        </w:rPr>
        <w:t xml:space="preserve"> характер. К участию в мероприятиях приглашаются дети, подростки, молодежь, молодые семьи, проживающие, обучающиеся или работающие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319D">
        <w:rPr>
          <w:rFonts w:ascii="Times New Roman" w:hAnsi="Times New Roman" w:cs="Times New Roman"/>
          <w:sz w:val="24"/>
          <w:szCs w:val="24"/>
        </w:rPr>
        <w:t>.</w:t>
      </w:r>
    </w:p>
    <w:p w:rsidR="00AA53F7" w:rsidRDefault="00AA53F7" w:rsidP="00C1000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000E" w:rsidRPr="00123301" w:rsidRDefault="00C1000E" w:rsidP="00C100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33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</w:t>
      </w:r>
    </w:p>
    <w:p w:rsidR="00C1000E" w:rsidRPr="00123301" w:rsidRDefault="00C1000E" w:rsidP="00C100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3301">
        <w:rPr>
          <w:rFonts w:ascii="Times New Roman" w:hAnsi="Times New Roman" w:cs="Times New Roman"/>
          <w:sz w:val="24"/>
          <w:szCs w:val="24"/>
        </w:rPr>
        <w:t>основных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077"/>
        <w:gridCol w:w="964"/>
        <w:gridCol w:w="964"/>
        <w:gridCol w:w="1736"/>
        <w:gridCol w:w="2693"/>
      </w:tblGrid>
      <w:tr w:rsidR="00C1000E" w:rsidRPr="00123301" w:rsidTr="00BA01CA">
        <w:trPr>
          <w:trHeight w:val="338"/>
        </w:trPr>
        <w:tc>
          <w:tcPr>
            <w:tcW w:w="567" w:type="dxa"/>
            <w:vMerge w:val="restart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077" w:type="dxa"/>
            <w:vMerge w:val="restart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dxa"/>
            <w:gridSpan w:val="2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36" w:type="dxa"/>
            <w:vMerge w:val="restart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программы </w:t>
            </w:r>
          </w:p>
        </w:tc>
      </w:tr>
      <w:tr w:rsidR="00C1000E" w:rsidRPr="00123301" w:rsidTr="00BA01CA">
        <w:trPr>
          <w:trHeight w:val="313"/>
        </w:trPr>
        <w:tc>
          <w:tcPr>
            <w:tcW w:w="567" w:type="dxa"/>
            <w:vMerge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64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736" w:type="dxa"/>
            <w:vMerge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E" w:rsidRPr="00123301" w:rsidTr="00BA01CA">
        <w:tc>
          <w:tcPr>
            <w:tcW w:w="567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конкурсов, акций, форумов, слетов, круглых столов, встреч, лекций, фестивалей и турниров в сфере молодежной политики </w:t>
            </w:r>
          </w:p>
        </w:tc>
        <w:tc>
          <w:tcPr>
            <w:tcW w:w="1077" w:type="dxa"/>
          </w:tcPr>
          <w:p w:rsidR="00C1000E" w:rsidRPr="005B481F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16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1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64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36" w:type="dxa"/>
          </w:tcPr>
          <w:p w:rsidR="00C1000E" w:rsidRPr="006253FD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253FD">
              <w:rPr>
                <w:rFonts w:ascii="Times New Roman" w:hAnsi="Times New Roman" w:cs="Times New Roman"/>
                <w:sz w:val="24"/>
                <w:szCs w:val="24"/>
              </w:rPr>
              <w:t>целенаправлен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53F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253FD">
              <w:rPr>
                <w:rFonts w:ascii="Times New Roman" w:hAnsi="Times New Roman" w:cs="Times New Roman"/>
                <w:sz w:val="24"/>
                <w:szCs w:val="24"/>
              </w:rPr>
              <w:t xml:space="preserve"> вложения средств в повышение социальной активности, компетентности и профессионализма молодежи позволит получить в качестве дивидендов  усиление вклада молодежи в социально-экономическ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1000E" w:rsidRPr="00E949EA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000E" w:rsidRPr="00E949EA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количества мероприятий и акций, с 50 в 2020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A31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31E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00E" w:rsidRPr="00E949EA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количества подростков и молодежи, принимающих участие в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7000 человек в 2020 году до 9 500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1000E" w:rsidRPr="00E949EA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3.Увеличение количества публикаций в СМИ с 20 публикаций в 2020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C1000E" w:rsidRPr="00123301" w:rsidTr="00BA01CA">
        <w:trPr>
          <w:trHeight w:val="4140"/>
        </w:trPr>
        <w:tc>
          <w:tcPr>
            <w:tcW w:w="567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молодежи о реализации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государственной молодежной политики</w:t>
            </w:r>
          </w:p>
        </w:tc>
        <w:tc>
          <w:tcPr>
            <w:tcW w:w="1077" w:type="dxa"/>
          </w:tcPr>
          <w:p w:rsidR="00C1000E" w:rsidRPr="0042105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1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16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1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 и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64" w:type="dxa"/>
          </w:tcPr>
          <w:p w:rsidR="00C1000E" w:rsidRPr="00123301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36" w:type="dxa"/>
          </w:tcPr>
          <w:p w:rsidR="00C1000E" w:rsidRPr="00E949EA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3FD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3F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253FD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молодежи о реализации молодежной политики позволит увеличить количество молодежи, принимающей участие в мероприятиях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C1000E" w:rsidRDefault="00C1000E" w:rsidP="00BA0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количества публикаций в СМИ с 20 публикаций в 2020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9E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0E" w:rsidRPr="007221C7" w:rsidRDefault="00C1000E" w:rsidP="00BA01CA">
            <w:pPr>
              <w:tabs>
                <w:tab w:val="left" w:pos="600"/>
                <w:tab w:val="center" w:pos="128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00E" w:rsidRDefault="00C1000E" w:rsidP="00C1000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V. Ресурсное обеспечение программы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3319D">
        <w:rPr>
          <w:rFonts w:ascii="Times New Roman" w:hAnsi="Times New Roman" w:cs="Times New Roman"/>
          <w:sz w:val="24"/>
          <w:szCs w:val="24"/>
        </w:rPr>
        <w:t>, утвержденного на соответствующий год по соответствующим статьям бюджетной классификации. Объемы финансирования мероприятий Программы ежегодно подлежат уточнению при формировании бюджета на очередной финансовый год.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Общий объем ресурсн</w:t>
      </w:r>
      <w:r>
        <w:rPr>
          <w:rFonts w:ascii="Times New Roman" w:hAnsi="Times New Roman" w:cs="Times New Roman"/>
          <w:sz w:val="24"/>
          <w:szCs w:val="24"/>
        </w:rPr>
        <w:t>ого обеспечения Программы на 20</w:t>
      </w:r>
      <w:r w:rsidRPr="009E6C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0 - 2027</w:t>
      </w:r>
      <w:r w:rsidRPr="00B3319D">
        <w:rPr>
          <w:rFonts w:ascii="Times New Roman" w:hAnsi="Times New Roman" w:cs="Times New Roman"/>
          <w:sz w:val="24"/>
          <w:szCs w:val="24"/>
        </w:rPr>
        <w:t xml:space="preserve"> годы представлен в таблице.</w:t>
      </w:r>
      <w:r w:rsidRPr="00FC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F7" w:rsidRDefault="00AA53F7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00E" w:rsidRPr="00123301" w:rsidRDefault="00C1000E" w:rsidP="00C1000E">
      <w:pPr>
        <w:rPr>
          <w:rFonts w:ascii="Times New Roman" w:hAnsi="Times New Roman" w:cs="Times New Roman"/>
          <w:sz w:val="24"/>
          <w:szCs w:val="24"/>
        </w:rPr>
      </w:pPr>
      <w:r w:rsidRPr="0012330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C1000E" w:rsidRDefault="00C1000E" w:rsidP="00C1000E">
      <w:pPr>
        <w:rPr>
          <w:rFonts w:ascii="Times New Roman" w:hAnsi="Times New Roman" w:cs="Times New Roman"/>
          <w:bCs/>
          <w:sz w:val="24"/>
          <w:szCs w:val="24"/>
        </w:rPr>
      </w:pPr>
      <w:r w:rsidRPr="00123301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1000E" w:rsidRPr="00D95E30" w:rsidRDefault="00C1000E" w:rsidP="00C1000E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275"/>
        <w:gridCol w:w="709"/>
        <w:gridCol w:w="709"/>
        <w:gridCol w:w="709"/>
        <w:gridCol w:w="708"/>
        <w:gridCol w:w="709"/>
        <w:gridCol w:w="709"/>
        <w:gridCol w:w="709"/>
        <w:gridCol w:w="850"/>
        <w:gridCol w:w="1134"/>
      </w:tblGrid>
      <w:tr w:rsidR="00C1000E" w:rsidRPr="00123301" w:rsidTr="00BA01CA">
        <w:tc>
          <w:tcPr>
            <w:tcW w:w="1622" w:type="dxa"/>
            <w:vMerge w:val="restart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Наименование основных мероприятий</w:t>
            </w:r>
          </w:p>
        </w:tc>
        <w:tc>
          <w:tcPr>
            <w:tcW w:w="1275" w:type="dxa"/>
            <w:vMerge w:val="restart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5812" w:type="dxa"/>
            <w:gridSpan w:val="8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 руб.</w:t>
            </w:r>
          </w:p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20 - 2027</w:t>
            </w: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spellEnd"/>
            <w:proofErr w:type="gramEnd"/>
          </w:p>
        </w:tc>
      </w:tr>
      <w:tr w:rsidR="00C1000E" w:rsidRPr="00123301" w:rsidTr="00BA01CA">
        <w:tc>
          <w:tcPr>
            <w:tcW w:w="1622" w:type="dxa"/>
            <w:vMerge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233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210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/>
          </w:tcPr>
          <w:p w:rsidR="00C1000E" w:rsidRPr="00123301" w:rsidRDefault="00C1000E" w:rsidP="00BA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E" w:rsidRPr="004354AF" w:rsidTr="00BA01CA">
        <w:tc>
          <w:tcPr>
            <w:tcW w:w="1622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C1000E" w:rsidRPr="004354AF" w:rsidTr="00BA01CA">
        <w:tc>
          <w:tcPr>
            <w:tcW w:w="1622" w:type="dxa"/>
            <w:vMerge w:val="restart"/>
          </w:tcPr>
          <w:p w:rsidR="00C1000E" w:rsidRPr="00167CC8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B72C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конкурсов, акций, форумов, слетов, круглых столов, встреч, лекций, фестивалей и турниров в сфере молодежной политики</w:t>
            </w:r>
          </w:p>
        </w:tc>
        <w:tc>
          <w:tcPr>
            <w:tcW w:w="1275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00,0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8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4C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281B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281B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1134" w:type="dxa"/>
          </w:tcPr>
          <w:p w:rsidR="00C1000E" w:rsidRPr="00421051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1 80</w:t>
            </w:r>
            <w:r w:rsidRPr="0042105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1000E" w:rsidRPr="004354AF" w:rsidTr="00BA01CA">
        <w:tc>
          <w:tcPr>
            <w:tcW w:w="1622" w:type="dxa"/>
            <w:vMerge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000E" w:rsidRPr="00421051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105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1000E" w:rsidRPr="004354AF" w:rsidTr="00BA01CA">
        <w:tc>
          <w:tcPr>
            <w:tcW w:w="1622" w:type="dxa"/>
            <w:vMerge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000E" w:rsidRPr="00421051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105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1000E" w:rsidRPr="004354AF" w:rsidTr="00BA01CA">
        <w:tc>
          <w:tcPr>
            <w:tcW w:w="1622" w:type="dxa"/>
            <w:vMerge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281B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281B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1134" w:type="dxa"/>
          </w:tcPr>
          <w:p w:rsidR="00C1000E" w:rsidRPr="00421051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1 80</w:t>
            </w:r>
            <w:r w:rsidRPr="0042105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1000E" w:rsidRPr="004354AF" w:rsidTr="00BA01CA">
        <w:tc>
          <w:tcPr>
            <w:tcW w:w="1622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54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354AF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4354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8" w:type="dxa"/>
          </w:tcPr>
          <w:p w:rsidR="00C1000E" w:rsidRPr="004354AF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10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1000E" w:rsidRPr="00421051" w:rsidRDefault="00C1000E" w:rsidP="00BA01CA">
            <w:pPr>
              <w:rPr>
                <w:rFonts w:ascii="Times New Roman" w:hAnsi="Times New Roman" w:cs="Times New Roman"/>
              </w:rPr>
            </w:pPr>
            <w:r w:rsidRPr="00421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</w:t>
            </w:r>
            <w:r w:rsidRPr="004210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281B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850" w:type="dxa"/>
          </w:tcPr>
          <w:p w:rsidR="00C1000E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281B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1134" w:type="dxa"/>
          </w:tcPr>
          <w:p w:rsidR="00C1000E" w:rsidRPr="00421051" w:rsidRDefault="00C1000E" w:rsidP="00BA01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1 80</w:t>
            </w:r>
            <w:r w:rsidRPr="0042105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C1000E" w:rsidRPr="00D95E30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1000E" w:rsidRPr="00413817" w:rsidRDefault="00C1000E" w:rsidP="00C1000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E949EA">
        <w:rPr>
          <w:rFonts w:ascii="Times New Roman" w:hAnsi="Times New Roman" w:cs="Times New Roman"/>
          <w:sz w:val="24"/>
          <w:szCs w:val="24"/>
        </w:rPr>
        <w:t>V</w:t>
      </w:r>
      <w:r w:rsidRPr="00E94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9EA">
        <w:rPr>
          <w:rFonts w:ascii="Times New Roman" w:hAnsi="Times New Roman" w:cs="Times New Roman"/>
          <w:sz w:val="24"/>
          <w:szCs w:val="24"/>
        </w:rPr>
        <w:t>. Прогноз конечных результатов реализации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C1000E" w:rsidRPr="006253F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sz w:val="24"/>
          <w:szCs w:val="24"/>
        </w:rPr>
        <w:t>При реализации программы будут достигнуты следующие конечные результаты:</w:t>
      </w:r>
    </w:p>
    <w:p w:rsidR="00C1000E" w:rsidRPr="006253F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sz w:val="24"/>
          <w:szCs w:val="24"/>
        </w:rPr>
        <w:t>1. Осуществление целенаправленного вложения сре</w:t>
      </w:r>
      <w:proofErr w:type="gramStart"/>
      <w:r w:rsidRPr="006253F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253FD">
        <w:rPr>
          <w:rFonts w:ascii="Times New Roman" w:hAnsi="Times New Roman" w:cs="Times New Roman"/>
          <w:sz w:val="24"/>
          <w:szCs w:val="24"/>
        </w:rPr>
        <w:t xml:space="preserve">овышение социальной активности, компетентности и профессионализма молодежи позволит получить в качестве дивидендов  усиление вклада молодежи в социально-экономическое развитие </w:t>
      </w:r>
      <w:proofErr w:type="spellStart"/>
      <w:r w:rsidRPr="006253FD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Pr="006253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sz w:val="24"/>
          <w:szCs w:val="24"/>
        </w:rPr>
        <w:t xml:space="preserve">2. Информирование  молодежи о реализации молодежной политики позволит увеличить количество молодежи, принимающей участие в мероприятиях на территории </w:t>
      </w:r>
      <w:proofErr w:type="spellStart"/>
      <w:r w:rsidRPr="006253FD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Pr="006253FD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1000E" w:rsidRDefault="00C1000E" w:rsidP="00C1000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5D74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оказанию муниципальными учреждениями муниципальных услуг (работ) в рамках программы отсутствуют.</w:t>
      </w:r>
    </w:p>
    <w:p w:rsidR="00C1000E" w:rsidRDefault="00C1000E" w:rsidP="00360B25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319D">
        <w:rPr>
          <w:rFonts w:ascii="Times New Roman" w:hAnsi="Times New Roman" w:cs="Times New Roman"/>
          <w:sz w:val="24"/>
          <w:szCs w:val="24"/>
        </w:rPr>
        <w:t>. Анали</w:t>
      </w:r>
      <w:bookmarkStart w:id="1" w:name="_GoBack"/>
      <w:bookmarkEnd w:id="1"/>
      <w:r w:rsidRPr="00B3319D">
        <w:rPr>
          <w:rFonts w:ascii="Times New Roman" w:hAnsi="Times New Roman" w:cs="Times New Roman"/>
          <w:sz w:val="24"/>
          <w:szCs w:val="24"/>
        </w:rPr>
        <w:t>з рисков реализации программы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 xml:space="preserve">Исходя из опыта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319D">
        <w:rPr>
          <w:rFonts w:ascii="Times New Roman" w:hAnsi="Times New Roman" w:cs="Times New Roman"/>
          <w:sz w:val="24"/>
          <w:szCs w:val="24"/>
        </w:rPr>
        <w:t xml:space="preserve"> в предыдущие годы, возникают следующие проблемы и риски в реализации программы: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 xml:space="preserve">количество молодежных идей и инициатив может превышать количество заявленных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319D">
        <w:rPr>
          <w:rFonts w:ascii="Times New Roman" w:hAnsi="Times New Roman" w:cs="Times New Roman"/>
          <w:sz w:val="24"/>
          <w:szCs w:val="24"/>
        </w:rPr>
        <w:t>рограмме мероприятий;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возникновение в молодежной среде негативных явлений, которые требуют немедленного проведения профилактических мероприятий;</w:t>
      </w:r>
    </w:p>
    <w:p w:rsidR="00C1000E" w:rsidRPr="00B3319D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319D">
        <w:rPr>
          <w:rFonts w:ascii="Times New Roman" w:hAnsi="Times New Roman" w:cs="Times New Roman"/>
          <w:sz w:val="24"/>
          <w:szCs w:val="24"/>
        </w:rPr>
        <w:t>количество молодежи, желающ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3319D">
        <w:rPr>
          <w:rFonts w:ascii="Times New Roman" w:hAnsi="Times New Roman" w:cs="Times New Roman"/>
          <w:sz w:val="24"/>
          <w:szCs w:val="24"/>
        </w:rPr>
        <w:t xml:space="preserve"> принять участие в мероприятии, превышает запланированное.</w:t>
      </w:r>
    </w:p>
    <w:p w:rsidR="00C1000E" w:rsidRDefault="00C1000E" w:rsidP="00C100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9D">
        <w:rPr>
          <w:rFonts w:ascii="Times New Roman" w:hAnsi="Times New Roman" w:cs="Times New Roman"/>
          <w:sz w:val="24"/>
          <w:szCs w:val="24"/>
        </w:rPr>
        <w:t>Вышеперечисленные проблемы в организации дополнительных мероприятий с участием молодежи решаются привлечением внебюджетных средств и средств из сторонних источников.</w:t>
      </w:r>
      <w:bookmarkStart w:id="2" w:name="P255"/>
      <w:bookmarkEnd w:id="2"/>
      <w:r w:rsidRPr="00E91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0E1" w:rsidRDefault="007642B9"/>
    <w:sectPr w:rsidR="003930E1" w:rsidSect="00AA53F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B9" w:rsidRDefault="007642B9" w:rsidP="00AA53F7">
      <w:r>
        <w:separator/>
      </w:r>
    </w:p>
  </w:endnote>
  <w:endnote w:type="continuationSeparator" w:id="0">
    <w:p w:rsidR="007642B9" w:rsidRDefault="007642B9" w:rsidP="00AA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B9" w:rsidRDefault="007642B9" w:rsidP="00AA53F7">
      <w:r>
        <w:separator/>
      </w:r>
    </w:p>
  </w:footnote>
  <w:footnote w:type="continuationSeparator" w:id="0">
    <w:p w:rsidR="007642B9" w:rsidRDefault="007642B9" w:rsidP="00AA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218991"/>
      <w:docPartObj>
        <w:docPartGallery w:val="Page Numbers (Top of Page)"/>
        <w:docPartUnique/>
      </w:docPartObj>
    </w:sdtPr>
    <w:sdtContent>
      <w:p w:rsidR="00AA53F7" w:rsidRDefault="00AA53F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25">
          <w:rPr>
            <w:noProof/>
          </w:rPr>
          <w:t>9</w:t>
        </w:r>
        <w:r>
          <w:fldChar w:fldCharType="end"/>
        </w:r>
      </w:p>
    </w:sdtContent>
  </w:sdt>
  <w:p w:rsidR="00B52891" w:rsidRDefault="00764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136"/>
    <w:multiLevelType w:val="hybridMultilevel"/>
    <w:tmpl w:val="31D8829C"/>
    <w:lvl w:ilvl="0" w:tplc="540E1E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0E"/>
    <w:rsid w:val="00360B25"/>
    <w:rsid w:val="00437CF8"/>
    <w:rsid w:val="007642B9"/>
    <w:rsid w:val="009150D6"/>
    <w:rsid w:val="00AA53F7"/>
    <w:rsid w:val="00C1000E"/>
    <w:rsid w:val="00DE0BF6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E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00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AA53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53F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E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00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AA53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53F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</dc:creator>
  <cp:lastModifiedBy>Гуляев</cp:lastModifiedBy>
  <cp:revision>3</cp:revision>
  <cp:lastPrinted>2024-10-17T12:19:00Z</cp:lastPrinted>
  <dcterms:created xsi:type="dcterms:W3CDTF">2024-10-17T12:16:00Z</dcterms:created>
  <dcterms:modified xsi:type="dcterms:W3CDTF">2024-10-17T12:30:00Z</dcterms:modified>
</cp:coreProperties>
</file>