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75" w:rsidRPr="00AB5121" w:rsidRDefault="00451275" w:rsidP="008E04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7A12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51275" w:rsidRDefault="00451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 w:rsidR="00E67A12"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E67A12" w:rsidRDefault="00E6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E67A12" w:rsidRPr="00AB5121" w:rsidRDefault="00E6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6"/>
      <w:bookmarkEnd w:id="0"/>
      <w:r w:rsidRPr="00AB5121">
        <w:rPr>
          <w:rFonts w:ascii="Times New Roman" w:hAnsi="Times New Roman" w:cs="Times New Roman"/>
          <w:sz w:val="24"/>
          <w:szCs w:val="24"/>
        </w:rPr>
        <w:t>МЕТОДИКА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РАСЧЕТА ДОЛЖНОСТНЫХ ОКЛАДОВ, СТАВОК ЗАРАБОТНОЙ ПЛАТЫ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РАБОТНИКОВ УЧРЕЖДЕНИЙ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 Схема расчета должностных окладов руководителей,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заместителей руководителя и главных бухгалтеров учреждений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1.1. Должностной оклад руководителей учреждений, определяемый трудовым договором, устанавливается в кратном отношении к средней заработной плате работников возглавляемых ими учреждений и составляет не более 2 размеров указанной средней заработной платы.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расчете средней заработной платы учитываются должностные оклады, ставки заработной платы с учетом объема учебной нагрузки и выплаты стимулирующего характера работников учреждения, независимо от финансовых источников, за счет которых осуществляются данные выплаты.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Расчет средней заработной платы работников учреждения осуществляется за календарный год, предшествующий году установления должностного оклада руководителя учреждения.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расчете средней заработной платы не учитываются выплаты компенсационного характера работников и иные выплаты.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1.2. Средняя заработная плата работников учреждения определяется путем деления суммы должностных окладов, ставок заработной платы с учетом объема учебной нагрузки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года, предшествующего году установления должностного оклада руководителя учреждения.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1.3. При определении среднемесячной численности работников учреждения учитывается среднемесячная численность работников учреждения, работающих на условиях полного рабочего времени, среднемесячная численность работников учреждения, работающих на условиях неполного рабочего времени, и среднемесячная численность работников учреждения, являющихся внешними совместителями.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Среднемесячная численность работников учреждения, работающих на условиях полного рабочего времени, исчисляется путем суммирования численности работников учреждения, работающих на условиях полного рабочего времени, за каждый календарный день месяца, т.е. с 1-го по 30-е или 31-е число (для февраля - по 28-е или 29-е число), включая выходные и нерабочие праздничные дни, и деления полученной суммы на число календарных дней месяца.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Численность работников учреждения, работающих на условиях полного рабочего времени, за выходные или нерабочие праздничные дни принимается равной численности работников учреждения, работающих на условиях полного рабочего времени,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день, предшествовавший выходным или нерабочим праздничным дням.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В численности работников учреждения, работающих на условиях полного рабочего времени, за каждый календарный день месяца учитываются работники учреждения, фактически работающие на основании табеля учета рабочего времени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Работник (за исключением педагогических работников и профессорско-преподавательского состава), работающий в учреждении на одной, более одной ставках (оформленный в учреждении как внутренний совместитель), учитывается в списочной численности работников учреждения как один человек (целая единица).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1.5. Работники учреждения,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учреждения учитываются пропорционально отработанному времени.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Расчет средней численности этой категории работников производится в следующем порядке: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дня, исходя из продолжительности рабочей недели, например: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40 часов - на 8 часов (при пятидневной рабочей неделе) или на 6,67 часа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39 часов - на 7,8 часов (при пятидневной рабочей неделе) или на 6,5 часа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36 часов - на 7,2 часа (при пятидневной рабочей неделе) или на 6 часов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33 часа - на 6,6 часа (при пятидневной рабочей неделе) или на 5,5 часа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30 часов - на 6 часов (при пятидневной рабочей неделе) или на 5 часов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24 часа - на 4,8 часа (при пятидневной рабочей неделе) или на 4 часа (при шестидневной рабочей неделе);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 Среднемесячная численность работников учреждения, являющихся внешними совместителями, исчисляется в соответствии с порядком определения среднемесячной численности работников учреждения, работавших на условиях неполного рабочего времени.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1.7. 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1.8. При создании новых </w:t>
      </w:r>
      <w:r w:rsidR="00882784" w:rsidRPr="00AB5121">
        <w:rPr>
          <w:rFonts w:ascii="Times New Roman" w:hAnsi="Times New Roman" w:cs="Times New Roman"/>
          <w:sz w:val="24"/>
          <w:szCs w:val="24"/>
        </w:rPr>
        <w:t>муниципальных</w:t>
      </w:r>
      <w:r w:rsidRPr="00AB5121">
        <w:rPr>
          <w:rFonts w:ascii="Times New Roman" w:hAnsi="Times New Roman" w:cs="Times New Roman"/>
          <w:sz w:val="24"/>
          <w:szCs w:val="24"/>
        </w:rPr>
        <w:t xml:space="preserve"> учреждений и в других случаях, когда невозможно произвести расчет средней заработной платы работников всего персонала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>учреждений для определения должностного оклада руководителя учреждения за календарный год, предшествующий году установления должностного оклада руководителя, размер должностного оклада руководителя учреждения определяется учредителем.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 Схема расчета должностных окладов специалистов и служащих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Базовый оклад умножается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по занимаемой должности;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5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специфики (п. 5 настоящей Методики).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2.1. Учебно-вспомогательный персонал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1" w:name="P452"/>
      <w:bookmarkEnd w:id="1"/>
      <w:r w:rsidRPr="00AB51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67A12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474"/>
        <w:gridCol w:w="4649"/>
      </w:tblGrid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учебно-вспомогательного персонала первого уровня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Вожатый, помощник воспитателя, секретарь учебной части, ассистент по оказанию технической помощи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учебно-вспомогательного персонала второго уровня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2.2. Специалисты и служащие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2" w:name="P472"/>
      <w:bookmarkEnd w:id="2"/>
      <w:r w:rsidRPr="00AB51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67A12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474"/>
        <w:gridCol w:w="4649"/>
      </w:tblGrid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 w:rsidP="00E67A1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Архивариус, дежурный (по выдаче справок, залу, этажу гостиницы, комнате отдыха водителей автомобилей, общежитию и др.), делопроизводитель, калькулятор, кассир, комендант, копировщик, машинистка, секретарь, секретарь-машинистка, секретарь-стенографистка, стенографистка, экспедитор, экспедитор по перевозке грузов, специалист по закупкам</w:t>
            </w:r>
            <w:proofErr w:type="gramEnd"/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649" w:type="dxa"/>
          </w:tcPr>
          <w:p w:rsidR="00451275" w:rsidRPr="00AB5121" w:rsidRDefault="00451275" w:rsidP="00E6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 w:rsidP="00E67A1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Администратор, диспетчер, инспектор по кадрам, лаборант, секретарь руководителя, техник, техник по защите информации, техник-программист, техник-технолог, товаровед</w:t>
            </w:r>
            <w:proofErr w:type="gramEnd"/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649" w:type="dxa"/>
          </w:tcPr>
          <w:p w:rsidR="00451275" w:rsidRPr="00AB5121" w:rsidRDefault="00451275" w:rsidP="00E6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канцелярией, заведующий складом, заведующий фотолабораторией, заведующий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Заведующий научно-технической библиотекой, заведующий общежитием, заведующий производством (шеф-повар), заведующий столовой, начальник хозяйственного отдела, управляющий отделением (фермой, сельскохозяйственным участком).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4649" w:type="dxa"/>
          </w:tcPr>
          <w:p w:rsidR="00451275" w:rsidRPr="00AB5121" w:rsidRDefault="00451275" w:rsidP="00E6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(включая старшего), механик. 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Начальник гаража, начальник (заведующий) мастерской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 w:rsidP="00E67A1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E67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, инженер, инженер по организации труда, инженер по организации управления производством, специалист по охране труда, инженер-программист (программист), инженер-технолог (технолог), инженер-энергетик (энергетик), менеджер, менеджер по персоналу, менеджер по рекламе, менеджер по связям с общественностью, профконсультант, психолог, специалист по кадрам, специалист по маркетингу, специалист по связям с общественностью, экономист, экономист по бухгалтерскому учету и анализу хозяйственной деятельности, экономист по планированию, экономист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по труду, экономист по финансовой работе, эксперт, юрисконсульт, контрактный управляющий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464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163" w:rsidRDefault="00B72163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2.3. Руководители структурных подразделений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3" w:name="P524"/>
      <w:bookmarkEnd w:id="3"/>
      <w:r w:rsidRPr="00AB5121">
        <w:rPr>
          <w:rFonts w:ascii="Times New Roman" w:hAnsi="Times New Roman" w:cs="Times New Roman"/>
          <w:sz w:val="24"/>
          <w:szCs w:val="24"/>
        </w:rPr>
        <w:t>Таблица N 3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474"/>
        <w:gridCol w:w="4649"/>
      </w:tblGrid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c>
          <w:tcPr>
            <w:tcW w:w="294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4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464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профессиональной образовательной организации (подразделения) &lt;**&gt;;</w:t>
            </w:r>
            <w:proofErr w:type="gramEnd"/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старший мастер профессиональной образовательной организации (подразделения)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7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464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образовательной профессиональной образовательной организации (подразделения)</w:t>
            </w:r>
          </w:p>
        </w:tc>
      </w:tr>
    </w:tbl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&lt;**&gt; Кроме должностей руководителей структурных подразделений, отнесенных к 3 квалификационному уровню.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 Схема расчета должностных окладов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(ставок заработной платы) педагогических работников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Базовый оклад умножается на повышающие коэффициенты: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уровня образования;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стажа работы;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за квалификационную категорию;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по занимаемой должности;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5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специфики (п. 5 настоящей Методики).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4706"/>
        <w:gridCol w:w="1531"/>
      </w:tblGrid>
      <w:tr w:rsidR="00451275" w:rsidRPr="00AB5121">
        <w:tc>
          <w:tcPr>
            <w:tcW w:w="2805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Основание для повышения величины базовой единицы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51275" w:rsidRPr="00AB5121">
        <w:tc>
          <w:tcPr>
            <w:tcW w:w="2805" w:type="dxa"/>
            <w:vMerge w:val="restart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уровня образования</w:t>
            </w: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805" w:type="dxa"/>
            <w:vMerge/>
            <w:tcBorders>
              <w:bottom w:val="nil"/>
            </w:tcBorders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531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42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2805" w:type="dxa"/>
            <w:vMerge w:val="restart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стажа работы</w:t>
            </w: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Стаж работы более 15 лет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c>
          <w:tcPr>
            <w:tcW w:w="2805" w:type="dxa"/>
            <w:vMerge/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51275" w:rsidRPr="00AB5121">
        <w:tc>
          <w:tcPr>
            <w:tcW w:w="2805" w:type="dxa"/>
            <w:vMerge/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275" w:rsidRPr="00AB5121">
        <w:tc>
          <w:tcPr>
            <w:tcW w:w="2805" w:type="dxa"/>
            <w:vMerge/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Стаж работы от 2 до 5 лет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51275" w:rsidRPr="00AB5121">
        <w:tc>
          <w:tcPr>
            <w:tcW w:w="2805" w:type="dxa"/>
            <w:vMerge/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Стаж работы от 0 до 2 лет</w:t>
            </w:r>
          </w:p>
        </w:tc>
        <w:tc>
          <w:tcPr>
            <w:tcW w:w="153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1275" w:rsidRPr="00AB5121">
        <w:tc>
          <w:tcPr>
            <w:tcW w:w="2805" w:type="dxa"/>
            <w:vMerge w:val="restart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за квалификационную категорию</w:t>
            </w:r>
          </w:p>
        </w:tc>
        <w:tc>
          <w:tcPr>
            <w:tcW w:w="4706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1531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805" w:type="dxa"/>
            <w:vMerge/>
            <w:tcBorders>
              <w:bottom w:val="nil"/>
            </w:tcBorders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805" w:type="dxa"/>
            <w:vMerge/>
            <w:tcBorders>
              <w:bottom w:val="nil"/>
            </w:tcBorders>
          </w:tcPr>
          <w:p w:rsidR="00451275" w:rsidRPr="00AB5121" w:rsidRDefault="0045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42" w:type="dxa"/>
            <w:gridSpan w:val="3"/>
            <w:tcBorders>
              <w:top w:val="nil"/>
            </w:tcBorders>
          </w:tcPr>
          <w:p w:rsidR="00451275" w:rsidRPr="00AB5121" w:rsidRDefault="00451275" w:rsidP="00882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590"/>
      <w:bookmarkEnd w:id="4"/>
      <w:r w:rsidRPr="00AB5121">
        <w:rPr>
          <w:rFonts w:ascii="Times New Roman" w:hAnsi="Times New Roman" w:cs="Times New Roman"/>
          <w:sz w:val="24"/>
          <w:szCs w:val="24"/>
        </w:rPr>
        <w:t>Таблица N 5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191"/>
        <w:gridCol w:w="5159"/>
      </w:tblGrid>
      <w:tr w:rsidR="00451275" w:rsidRPr="00AB5121">
        <w:tc>
          <w:tcPr>
            <w:tcW w:w="272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19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в зависимости от занимаемой 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отнесенные к квалификационным уровням</w:t>
            </w:r>
          </w:p>
        </w:tc>
      </w:tr>
      <w:tr w:rsidR="00451275" w:rsidRPr="00AB5121">
        <w:tc>
          <w:tcPr>
            <w:tcW w:w="2721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19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</w:tr>
      <w:tr w:rsidR="00451275" w:rsidRPr="00AB5121">
        <w:tc>
          <w:tcPr>
            <w:tcW w:w="2721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9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</w:tr>
      <w:tr w:rsidR="00451275" w:rsidRPr="00AB5121">
        <w:tc>
          <w:tcPr>
            <w:tcW w:w="2721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91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91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159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&lt;*&gt;;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&lt;**&gt;; учитель; учитель-дефектолог; учитель-логопед (логопед); воспитатель; педагог-библиотекарь</w:t>
            </w:r>
            <w:proofErr w:type="gramEnd"/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&lt;*&gt; Кроме должностей преподавателей, отнесенных к профессорско-преподавательскому составу.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&lt;**&gt; За исключением </w:t>
      </w:r>
      <w:proofErr w:type="spellStart"/>
      <w:r w:rsidRPr="00AB5121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в сфере высшего и дополнительного профессионального образования.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4. Схема расчета должностных окладов работников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рабочих профессий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Базовый оклад умножается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по занимаемой должности;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коэффициент специфики (</w:t>
      </w:r>
      <w:hyperlink w:anchor="P75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настоящей Методики).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474"/>
        <w:gridCol w:w="5159"/>
      </w:tblGrid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 w:rsidP="00A8334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1,0 - 1 квалификационный разряд;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1,04 - 2 квалификационный разряд;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1,09 - 3 квалификационный разряд</w:t>
            </w:r>
          </w:p>
        </w:tc>
        <w:tc>
          <w:tcPr>
            <w:tcW w:w="515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выпуск 1, </w:t>
            </w:r>
            <w:hyperlink r:id="rId7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, общероссийским </w:t>
            </w:r>
            <w:hyperlink r:id="rId8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должностей служащих и тарифных разрядов (далее - ОКПДТР)</w:t>
            </w:r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515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</w:tr>
      <w:tr w:rsidR="00451275" w:rsidRPr="00AB5121">
        <w:tc>
          <w:tcPr>
            <w:tcW w:w="9071" w:type="dxa"/>
            <w:gridSpan w:val="3"/>
          </w:tcPr>
          <w:p w:rsidR="00451275" w:rsidRPr="00AB5121" w:rsidRDefault="00451275" w:rsidP="00A8334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40"/>
            <w:bookmarkEnd w:id="5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1,0 - 4 квалификационный разряд;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1,11 - 5 квалификационный разряд</w:t>
            </w:r>
          </w:p>
        </w:tc>
        <w:tc>
          <w:tcPr>
            <w:tcW w:w="515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рабочих, выпуск 1, </w:t>
            </w:r>
            <w:hyperlink r:id="rId9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всех отраслей народного хозяйства", </w:t>
            </w:r>
            <w:hyperlink r:id="rId10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1,23 - 6 квалификационный разряд;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1,35 - 7 квалификационный разряд</w:t>
            </w:r>
          </w:p>
        </w:tc>
        <w:tc>
          <w:tcPr>
            <w:tcW w:w="515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 выпуск 1, </w:t>
            </w:r>
            <w:hyperlink r:id="rId11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"Профессии рабочих, общие для всех отраслей народного хозяйства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48"/>
            <w:bookmarkEnd w:id="6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5159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рабочих, выпуск 1, </w:t>
            </w:r>
            <w:hyperlink r:id="rId13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A8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</w:tr>
      <w:tr w:rsidR="00451275" w:rsidRPr="00AB5121">
        <w:tc>
          <w:tcPr>
            <w:tcW w:w="2438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147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1,63 - 1,79</w:t>
            </w:r>
          </w:p>
        </w:tc>
        <w:tc>
          <w:tcPr>
            <w:tcW w:w="5159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</w:t>
            </w:r>
            <w:hyperlink w:anchor="P740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748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755"/>
      <w:bookmarkEnd w:id="7"/>
      <w:r w:rsidRPr="00AB5121">
        <w:rPr>
          <w:rFonts w:ascii="Times New Roman" w:hAnsi="Times New Roman" w:cs="Times New Roman"/>
          <w:sz w:val="24"/>
          <w:szCs w:val="24"/>
        </w:rPr>
        <w:t>5. Повышающий коэффициент специфики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Повышающий коэффициент специфики - величина повышения, применяемая к базовому окладу (базовой ставке заработной платы) специалистов, служащих, педагогических работников, работников рабочих профессий.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17"/>
      </w:tblGrid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Перечень условий применения повышающего коэффициента специфики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Размеры повышающего коэффициента специфики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1. За работу в специальных (коррекционных) учреждениях и специальных (коррекционных) общеобразовательных учреждениях для обучающихся (за исключением педагогических работников, указанных в </w:t>
            </w:r>
            <w:hyperlink w:anchor="P778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818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22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1,15 - 1,2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2. За работу в специальных учебно-воспитательных учреждениях для детей и подростков с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педагогическим и другим работникам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1,15 - 1,2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За работу в образовательных организациях и организациях, осуществляющих обучение, имеющих специальные (коррекционные) отделения, классы, группы для обучающихся с ограниченными возможностями здоровья или классы, группы для обучающихся и воспитанников, нуждающихся в длительном лечении (в том числе группы инвалидов и лиц с ограниченными возможностями), работникам, непосредственно занятым в таких классах (группах)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4. За работу в организациях для детей-сирот и детей, оставшихся без попечения родителей (за исключением педагогических работников, указанных в </w:t>
            </w:r>
            <w:hyperlink w:anchor="P805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16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818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78"/>
            <w:bookmarkEnd w:id="8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5. За работу в общеобразовательных школах-интернатах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Социальному педагогу, воспитателю за работу с детьми-сиротами, проживающими в общежитиях профессиональных образовательных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1,1 - 1,2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83"/>
            <w:bookmarkEnd w:id="9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7. Работникам областных государственных образовательных учреждений за работу в общеобразовательных учреждениях, созданных при исправительных колониях, в следственных изоляторах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85"/>
            <w:bookmarkEnd w:id="10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8. Работникам областных государственных образовательных учреждений за работу в общеобразовательных учреждениях, созданных при исправительных колониях, исполняющих уголовные наказания в виде лишения свободы &lt;*&gt;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87"/>
            <w:bookmarkEnd w:id="11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9. Работникам областных государственных учреждений за работу в указанных общеобразовательных учреждениях, занятых обучением лиц, которым решением суда определено содержание в исправительных колониях строгого и особого режимов &lt;*&gt;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1,1 - 1,15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 w:rsidP="00A8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10. Специалистам (указанным в </w:t>
            </w:r>
            <w:hyperlink w:anchor="P1307" w:history="1"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приложении </w:t>
              </w:r>
              <w:r w:rsidR="00A833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AB51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</w:t>
              </w:r>
            </w:hyperlink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системе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государственных областных учреждений отрасли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 за работу в учреждениях, расположенных в сельской местности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11. Женщинам за работу в образовательных учреждениях, расположенных в сельской местности, где по условиям труда рабочий день разделен на части с перерывом более 2 часов подряд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12. 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13. За работу в санаторных школах-интернатах для детей, нуждающихся в длительном лечении; учителям и другим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взрослых.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1,15 - 1,2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За работу в учреждениях санаторного типа для детей, инфицированных туберкулезом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14. 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15. За работу в учреждениях социальной защиты населения: организациях для детей-сирот и детей, оставшихся без попечения родителей (домах-интернатах для детей-инвалидов), а также в отделениях для детей-инвалидов в учреждениях для взрослых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1,15 - 1,2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 w:rsidP="00882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805"/>
            <w:bookmarkEnd w:id="12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16. Педагогическим работникам за работу в специализированных Домах 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и Центрах патологии речи и </w:t>
            </w:r>
            <w:proofErr w:type="spell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17. Педагогическим работникам, непосредственно осуществляющим организацию и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обучение учащихся по программам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уровня в лицеях и гимназиях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c>
          <w:tcPr>
            <w:tcW w:w="7654" w:type="dxa"/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18. Работникам образовательных и общеобразовательных учреждений за работу в закрытых административно-территориальных образованиях</w:t>
            </w:r>
          </w:p>
        </w:tc>
        <w:tc>
          <w:tcPr>
            <w:tcW w:w="1417" w:type="dxa"/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19. Старшим мастерам и мастерам производственного обучения профессиональных образовательных организаций, организованных для обучения профессиям художественных ремесел, а также учреждений, осуществляющих подготовку рабочих и специалистов для предприятий и организаций черной и цветной металлургии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882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818"/>
            <w:bookmarkEnd w:id="13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784" w:rsidRPr="00AB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Педагогическим работникам организаций для детей-сирот и детей, оставшихся без попечения родителей, с ограниченными возможностями здоровья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882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784"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Выпускникам профессиональных образовательных организаций и образовательных организаций высшего образования, обучавшимся по очной форме, поступившим на работу в образовательные организации и организации для детей-сирот и детей, оставшихся без попечения родителей, а также организации, осуществляющие обучение, до прохождения ими аттестации (но не более 2 лет, за исключением времени нахождения в отпуске по беременности и родам, а также по уходу за ребенком до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 возраста трех лет):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 (диплом с отличием)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со средним профессиональным образованием (диплом с отличием)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со средним профессиональным образованием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Заведующим производством (шеф-поварам), поварам за работу в образовательной организации и организации для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Водителям, осуществляющим организованную подвозку групп детей автобусами образовательной организации и организации для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Помощникам воспитателей, младшим воспитателям и ассистентам по оказанию технической помощи в образовательных организациях и организациях для детей-сирот и детей, оставшихся без попечения родителей, реализующих программы дошкольного образования, за непосредственное осуществление воспитательных функций в процессе проведения с детьми занятий, оздоровительных мероприятий, приобщение детей к труду, привитие им санитарно-гигиенических навыков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Педагогическим работникам структурных подразделений образовательных организаций - детский технопарк и центр поддержки одаренных детей, реализующих программы дополнительного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Специалистам, учебно-вспомогательному персоналу структурных подразделений образовательных организаций - детский технопарк, реализующих программы дополнительного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Руководителям структурных подразделений образовательных организаций - детский технопарк и центр поддержки одаренных детей, реализующих программы дополнительного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 w:rsidP="002A4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2A450A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1275" w:rsidRPr="00AB5121">
              <w:rPr>
                <w:rFonts w:ascii="Times New Roman" w:hAnsi="Times New Roman" w:cs="Times New Roman"/>
                <w:sz w:val="24"/>
                <w:szCs w:val="24"/>
              </w:rPr>
              <w:t>. Педагогическим работникам структурных подразделений образовательных организаций, обеспечивающих функционирование и обработку данных государственных информационных систем в сфере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2A450A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1275" w:rsidRPr="00AB5121">
              <w:rPr>
                <w:rFonts w:ascii="Times New Roman" w:hAnsi="Times New Roman" w:cs="Times New Roman"/>
                <w:sz w:val="24"/>
                <w:szCs w:val="24"/>
              </w:rPr>
              <w:t>. Специалистам, учебно-вспомогательному персоналу структурных подразделений образовательных организаций, обеспечивающих функционирование и обработку данных государственных информационных систем в сфере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 w:rsidP="002A4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 w:rsidP="002A4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. Руководителям структурных подразделений образовательных организаций, обеспечивающих функционирование и обработку данных государственных информационных систем в сфере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450A" w:rsidRPr="00AB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Педагогическим работникам, непосредственно осуществляющим организацию и </w:t>
            </w:r>
            <w:proofErr w:type="gramStart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B512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основным профессиональным образовательным программам среднего профессионального образования, разработанным на основе федеральных государственных образовательных стандартов: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углубленной подготовки;</w:t>
            </w:r>
          </w:p>
          <w:p w:rsidR="00451275" w:rsidRPr="00AB5121" w:rsidRDefault="00451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- по 50 наиболее востребованным и перспективным профессиям и специальностям (ТОП-50), утвержденным Минтруда России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51275" w:rsidRPr="00AB5121" w:rsidRDefault="00451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2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51275" w:rsidRPr="00AB512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51275" w:rsidRPr="00AB5121" w:rsidRDefault="00451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&lt;*&gt; Установленные повышения должностных окладов исчисляются от увеличенных должностных окладов: в соответствии с </w:t>
      </w:r>
      <w:hyperlink w:anchor="P78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7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для </w:t>
      </w:r>
      <w:hyperlink w:anchor="P78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; в соответствии с </w:t>
      </w:r>
      <w:hyperlink w:anchor="P78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для </w:t>
      </w:r>
      <w:hyperlink w:anchor="P78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настоящей таблицы.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В случаях, когда работникам предусмотрено применение повышающего коэффициента специфики по двум и более основаниям, размер каждого повышения исчисляется отдельно по каждому повышающему коэффициенту специфики (кроме случаев, указанных в </w:t>
      </w:r>
      <w:hyperlink w:anchor="P78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настоящей таблицы).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 Повышающий коэффициент масштаба деятельности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В зависимости от осуществления координирующих, информационно-организационных, программно-методических и других функций, поддержки развития учреждений системы образования к фонду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оплаты труда государственного областного учреждения отрасли образования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может устанавливаться коэффициент масштаба деятельности. Конкретный размер коэффициента масштаба деятельности, порядок и условия его определения устанавливаются приказом департамента образования. Указанные средства доводятся до учреждения одновременно с показателями результативности, связанными с осуществлением учреждением указанных функций, и направляются на стимулирующие выплаты работникам этих учреждений.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2163" w:rsidRDefault="00B72163" w:rsidP="00A833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72163" w:rsidSect="00AB49B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62537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376E0"/>
    <w:rsid w:val="00397423"/>
    <w:rsid w:val="003A1C73"/>
    <w:rsid w:val="00451274"/>
    <w:rsid w:val="00451275"/>
    <w:rsid w:val="00466AE3"/>
    <w:rsid w:val="004753BF"/>
    <w:rsid w:val="004E6C65"/>
    <w:rsid w:val="00524304"/>
    <w:rsid w:val="00576419"/>
    <w:rsid w:val="00671E6F"/>
    <w:rsid w:val="006E5538"/>
    <w:rsid w:val="007B227C"/>
    <w:rsid w:val="00874AA0"/>
    <w:rsid w:val="00882784"/>
    <w:rsid w:val="00884B08"/>
    <w:rsid w:val="008859C7"/>
    <w:rsid w:val="008A5549"/>
    <w:rsid w:val="008E0463"/>
    <w:rsid w:val="009A2CFF"/>
    <w:rsid w:val="009F3474"/>
    <w:rsid w:val="00A04AB1"/>
    <w:rsid w:val="00A83341"/>
    <w:rsid w:val="00A8760B"/>
    <w:rsid w:val="00AA661A"/>
    <w:rsid w:val="00AB49B7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87E8F"/>
    <w:rsid w:val="00D01FE1"/>
    <w:rsid w:val="00DF552F"/>
    <w:rsid w:val="00E02475"/>
    <w:rsid w:val="00E67A12"/>
    <w:rsid w:val="00E922B1"/>
    <w:rsid w:val="00E92EDB"/>
    <w:rsid w:val="00F22B96"/>
    <w:rsid w:val="00F333FA"/>
    <w:rsid w:val="00F6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B13B6C4AF93C3D8B0DCFD2C669CC5CA914C8E122585E4AD78B37E7176A22AF0BA43610EE6BA756C35825FFD6B7FAnCDAM" TargetMode="External"/><Relationship Id="rId13" Type="http://schemas.openxmlformats.org/officeDocument/2006/relationships/hyperlink" Target="consultantplus://offline/ref=29E93F966F35823C9303B13B6C4AF93C3E810DC0DEC569CC5CA914C8E122585E4AD78B37E7176E23AD0BA43610EE6BA756C35825FFD6B7FAnCD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E93F966F35823C9303B13B6C4AF93C3E810DC0DEC569CC5CA914C8E122585E4AD78B37E7176E23AD0BA43610EE6BA756C35825FFD6B7FAnCDAM" TargetMode="External"/><Relationship Id="rId12" Type="http://schemas.openxmlformats.org/officeDocument/2006/relationships/hyperlink" Target="consultantplus://offline/ref=29E93F966F35823C9303B13B6C4AF93C3D8B0DCFD2C669CC5CA914C8E122585E4AD78B37E7176A22AF0BA43610EE6BA756C35825FFD6B7FAnCD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E93F966F35823C9303B13B6C4AF93C3E810DC0DEC569CC5CA914C8E122585E4AD78B37E7176E23AD0BA43610EE6BA756C35825FFD6B7FAnCD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E93F966F35823C9303B13B6C4AF93C3D8B0DCFD2C669CC5CA914C8E122585E4AD78B37E7176A22AF0BA43610EE6BA756C35825FFD6B7FAnC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E93F966F35823C9303B13B6C4AF93C3E810DC0DEC569CC5CA914C8E122585E4AD78B37E7176E23AD0BA43610EE6BA756C35825FFD6B7FAnCDAM" TargetMode="External"/><Relationship Id="rId14" Type="http://schemas.openxmlformats.org/officeDocument/2006/relationships/hyperlink" Target="consultantplus://offline/ref=29E93F966F35823C9303B13B6C4AF93C3D8B0DCFD2C669CC5CA914C8E122585E4AD78B37E7176A22AF0BA43610EE6BA756C35825FFD6B7FAnC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14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26</cp:revision>
  <cp:lastPrinted>2019-10-31T08:46:00Z</cp:lastPrinted>
  <dcterms:created xsi:type="dcterms:W3CDTF">2019-09-06T12:03:00Z</dcterms:created>
  <dcterms:modified xsi:type="dcterms:W3CDTF">2019-11-06T11:44:00Z</dcterms:modified>
</cp:coreProperties>
</file>