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XO Thames" w:hAnsi="XO Thames" w:cs="XO Thames" w:eastAsia="XO Thames"/>
          <w:color w:val="000000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Приложение </w:t>
      </w:r>
      <w:r/>
    </w:p>
    <w:p>
      <w:pPr>
        <w:jc w:val="right"/>
        <w:spacing w:after="0" w:line="240" w:lineRule="auto"/>
        <w:rPr>
          <w:rFonts w:ascii="XO Thames" w:hAnsi="XO Thames" w:cs="XO Thames" w:eastAsia="XO Thames"/>
          <w:color w:val="000000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           к постановлению   администрации</w:t>
      </w:r>
      <w:r/>
    </w:p>
    <w:p>
      <w:pPr>
        <w:jc w:val="right"/>
        <w:spacing w:after="0" w:line="240" w:lineRule="auto"/>
        <w:rPr>
          <w:rFonts w:ascii="XO Thames" w:hAnsi="XO Thames" w:cs="XO Thames" w:eastAsia="XO Thames"/>
          <w:color w:val="000000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Петушинского</w:t>
      </w: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района                                  </w:t>
      </w:r>
      <w:r/>
    </w:p>
    <w:p>
      <w:pPr>
        <w:pStyle w:val="926"/>
        <w:jc w:val="right"/>
        <w:rPr>
          <w:rFonts w:ascii="XO Thames" w:hAnsi="XO Thames" w:cs="XO Thames" w:eastAsia="XO Thames"/>
          <w:color w:val="000000"/>
        </w:rPr>
      </w:pPr>
      <w:r>
        <w:rPr>
          <w:rFonts w:ascii="XO Thames" w:hAnsi="XO Thames" w:cs="XO Thames" w:eastAsia="XO Thames"/>
          <w:color w:val="000000" w:themeColor="text1"/>
          <w:sz w:val="28"/>
          <w:szCs w:val="28"/>
        </w:rPr>
        <w:t xml:space="preserve">                                                                                      от __________ № ______ </w:t>
      </w:r>
      <w:r/>
    </w:p>
    <w:p>
      <w:pPr>
        <w:pStyle w:val="92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</w:r>
      <w:bookmarkStart w:id="0" w:name="Par34"/>
      <w:r>
        <w:rPr>
          <w:rFonts w:ascii="XO Thames" w:hAnsi="XO Thames" w:cs="XO Thames" w:eastAsia="XO Thames"/>
        </w:rPr>
      </w:r>
      <w:bookmarkEnd w:id="0"/>
      <w:r>
        <w:rPr>
          <w:rFonts w:ascii="XO Thames" w:hAnsi="XO Thames" w:cs="XO Thames" w:eastAsia="XO Thames"/>
        </w:rPr>
        <w:t xml:space="preserve">ПОРЯДОК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ОПРЕДЕЛЕНИЯ ОБЪЕМА И УСЛОВИЯ ПРЕДОСТАВЛЕНИЯ ИЗ БЮДЖЕТА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МУНИЦИПАЛЬНОГО ОБРАЗОВАНИЯ «ПЕТУШИНСКИЙ РАЙОН» МУНИЦИПАЛЬНЫМ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БЮДЖЕТНЫМ И АВТОНОМНЫМ УЧРЕЖДЕНИЯМ, ПОДВЕДОМСТВЕННЫМ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МУНИЦИПАЛЬНОМУ УЧРЕЖДЕНИЮ «УПРАВЛЕНИЕ ОБРАЗОВАНИЯ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АДМИНИСТРАЦИИ ПЕТУШИНСКОГО РАЙОНА», СУБСИДИЙ НА ИНЫЕ ЦЕЛИ,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НЕ СВЯЗАННЫЕ С ФИНАНСОВЫМ ОБЕСПЕЧЕНИЕМ ВЫПОЛНЕНИЯ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МУНИЦИПАЛЬНОГО ЗАДАНИЯ НА ОКАЗАНИЕ МУНИЦИПАЛЬНЫХ УСЛУГ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</w:rPr>
      </w:pPr>
      <w:r>
        <w:rPr>
          <w:rFonts w:ascii="XO Thames" w:hAnsi="XO Thames" w:cs="XO Thames" w:eastAsia="XO Thames"/>
        </w:rPr>
        <w:t xml:space="preserve">(ВЫПОЛНЕНИЕ РАБОТ)</w:t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rPr>
          <w:rFonts w:ascii="XO Thames" w:hAnsi="XO Thames" w:cs="XO Thames" w:eastAsia="XO Thames"/>
          <w:color w:val="000000"/>
        </w:rPr>
      </w:pPr>
      <w:r>
        <w:rPr>
          <w:rFonts w:ascii="XO Thames" w:hAnsi="XO Thames" w:cs="XO Thames" w:eastAsia="XO Thames"/>
          <w:color w:val="000000"/>
        </w:rPr>
      </w:r>
      <w:r>
        <w:rPr>
          <w:rFonts w:ascii="XO Thames" w:hAnsi="XO Thames" w:cs="XO Thames" w:eastAsia="XO Thames"/>
        </w:rPr>
      </w:r>
      <w:r/>
    </w:p>
    <w:p>
      <w:pPr>
        <w:pStyle w:val="926"/>
        <w:jc w:val="both"/>
        <w:rPr>
          <w:rFonts w:ascii="XO Thames" w:hAnsi="XO Thames" w:cs="XO Thames" w:eastAsia="XO Thames"/>
          <w:color w:val="000000"/>
        </w:rPr>
      </w:pPr>
      <w:r>
        <w:rPr>
          <w:rFonts w:ascii="XO Thames" w:hAnsi="XO Thames" w:cs="XO Thames" w:eastAsia="XO Thames"/>
          <w:color w:val="000000"/>
        </w:rPr>
      </w:r>
      <w:r>
        <w:rPr>
          <w:rFonts w:ascii="XO Thames" w:hAnsi="XO Thames" w:cs="XO Thames" w:eastAsia="XO Thames"/>
        </w:rPr>
      </w:r>
      <w:r/>
    </w:p>
    <w:p>
      <w:pPr>
        <w:pStyle w:val="928"/>
        <w:jc w:val="center"/>
        <w:spacing w:before="0" w:beforeAutospacing="0" w:after="0" w:afterAutospacing="0" w:line="240" w:lineRule="auto"/>
        <w:rPr>
          <w:rFonts w:ascii="XO Thames" w:hAnsi="XO Thames" w:cs="XO Thames" w:eastAsia="XO Thames"/>
          <w:sz w:val="24"/>
        </w:rPr>
        <w:outlineLvl w:val="1"/>
      </w:pPr>
      <w:r>
        <w:rPr>
          <w:rFonts w:ascii="XO Thames" w:hAnsi="XO Thames" w:cs="XO Thames" w:eastAsia="XO Thames"/>
          <w:sz w:val="24"/>
        </w:rPr>
        <w:t xml:space="preserve">1. Общие положения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sz w:val="24"/>
        </w:rPr>
      </w:pPr>
      <w:r>
        <w:rPr>
          <w:rFonts w:ascii="XO Thames" w:hAnsi="XO Thames" w:cs="XO Thames" w:eastAsia="XO Thames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1.1. Настоящий Порядок определения объема и условия предоставления из бюд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жета муниципального образования «Петушинский район» муниципальным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бюджетным и автономным учреждениям, функции и полномочия учредителя в отношении которых осуществляет муниципальное казенное учреждение «Управление образования, молодежной политики и патриотического воспитания» Петушинского района Владимирской области (дале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е - Управлен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ие образования, учреждения), субсидий на иные цели, не связанные с финансовым обеспечением выполнения муниципального задания на оказание муниципальных услуг (выполнение работ) (далее - субсидия на иные цели, субсидия, Порядок), разработан в соответствии с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https://login.consultant.ru/link/?req=doc&amp;base=LAW&amp;n=389332&amp;date=28.09.2021&amp;dst=3146&amp;field=134 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абзацами вторым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,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https://login.consultant.ru/link/?req=doc&amp;base=LAW&amp;n=389332&amp;date=28.09.2021&amp;dst=5905&amp;field=134 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четвертым пункта 1 статьи 78.1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Бюджетного кодекса Российской Федерации,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https://login.consultant.ru/link/?req=doc&amp;base=LAW&amp;n=360276&amp;date=28.09.2021 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постановлением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Правительства Российской Федерации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от 22.02.2020 N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(далее - Общие требования).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bookmarkStart w:id="1" w:name="Par47"/>
      <w:r>
        <w:rPr>
          <w:rFonts w:ascii="XO Thames" w:hAnsi="XO Thames" w:cs="XO Thames" w:eastAsia="XO Thames"/>
          <w:color w:val="000000" w:themeColor="text1"/>
          <w:sz w:val="24"/>
        </w:rPr>
      </w:r>
      <w:bookmarkEnd w:id="1"/>
      <w:r>
        <w:rPr>
          <w:rFonts w:ascii="XO Thames" w:hAnsi="XO Thames" w:cs="XO Thames" w:eastAsia="XO Thames"/>
          <w:color w:val="000000" w:themeColor="text1"/>
          <w:sz w:val="24"/>
        </w:rPr>
        <w:t xml:space="preserve">1.2. Субсидии на иные цели предоставляются на: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1) обследование зданий и сооружений на предмет технического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состояния и сохранения эксплуатационных свойств, осуществление работ по разработке проектно-сметной документации, проведению экспертизы проектно-сметной документации, капитальному ремонту имущества, проведению технического надзора за выполнением работ по к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апитальному ремонту, проведению текущего ремонта, направленного на поддержание в исправном состоянии зданий, помещений и инженерных коммуникаций муниципальных организаций, не включаемых в нормативные затраты, связанные с выполнением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2) приобретение основных средств, в том числе приобретенных посредством финансовой аренды (лизинга), не включаемых в нормативные затраты, связанные с выполнением муниципального задания, приобретение программного обеспечения;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3) проведение мероприятий по ликвидации чрезвычайной ситуации;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4) погашение обоснованной кредиторской задолженности;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5) приобретение оборудования, не включенного в состав субс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идии на финансовое обеспечение выполнения муниципального задания и субсидии на осуществление капитальных вложений в объекты капитального строительства муниципальной собственности, и приобретение объектов недвижимого имущества в муниципальную собственность;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6) текущий ремонт основных средств, не включенный в состав субсидии на финансовое обеспечение исполнения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7) осуществление расходов, связанных с оплатой контрактов на выполнение работ, оказание услуг по приведению учреждения в соответствие с санитарно-эпидемиологическими нормами, требованиями пожарной безопасности, строительными нормами и правилами;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8) расходы на укрепление материально-технической базы муниципальных учреждений (приобретение основных средств для осуществления видов деятельности бюджетных учреждений);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9) расходы на финансовое обеспечение реализации мероприятий муниципальной программы «Развитие системы образования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муниципального образования «Петушинский район», государственной программы Владимирской области «Развитие образования»,  национального проекта «Образование»;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10) внедрение в деятельность учреждений информационных технологий и приобретение компьютерной техники;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11) расходы на обеспечение деятельности учреждений, не включаемых в нормативные затраты, связанные с выполнением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12) совершенствование материально-технической базы учреждений (приобретение оборудования, мебели, включая доставку, монтаж (демонтаж), погрузочно-разгрузочные работы и обслуживание);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13) мероприятия по антитеррористической защищенности и пожарной безопасности;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14) организацию и проведение праздничных и памятных мероприятий;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15)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16) исполнение судебных актов;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17) услуги по разработке технических условий присоединения к сетям инженерно-технического обеспечения по муниципальным учреждениям;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18) приобретение материальных запасов, не включаемых в нормативные затраты, связанные с выполнением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19) проведение мероприятий по формированию системы обеспечения безопасности муниципальных учреждений, не включаемых в нормативные затраты, связанные с выполнением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20) финансирование расходов по проведению ликвидационных, реорганизационных мероприятий в муниципальных учреждениях, содержанию учреждений, находящихся в стадии реконструкции;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21) организацию и проведение мероприятий в сфере образования, не включаемых в нормативные затраты, связанные с выполнением муниципального задания;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22) выплату грантов, поощрений, премий, установленных нормативными правовыми документами, реализацию инициативных проектов;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23) иные расходы, не связанные с выполнением муниципального задания.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1.3. С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убсидии на и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ные цели предоставляются в пределах лимитов бюджетных обязательств на соответствующий финансовый год и на плановый период, доведенных Управлению образования как получателю средств бюджета муниципального образования «Петушинский район» на цели, указанные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Par47  \o "1.2. Субсидии на иные цели предоставляются на:"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1.2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настоящего Порядка.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p>
      <w:pPr>
        <w:pStyle w:val="928"/>
        <w:jc w:val="center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  <w:outlineLvl w:val="1"/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 Условия и порядок предоставления субсидий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bookmarkStart w:id="2" w:name="Par75"/>
      <w:r>
        <w:rPr>
          <w:rFonts w:ascii="XO Thames" w:hAnsi="XO Thames" w:cs="XO Thames" w:eastAsia="XO Thames"/>
          <w:color w:val="000000" w:themeColor="text1"/>
          <w:sz w:val="24"/>
        </w:rPr>
      </w:r>
      <w:bookmarkEnd w:id="2"/>
      <w:r>
        <w:rPr>
          <w:rFonts w:ascii="XO Thames" w:hAnsi="XO Thames" w:cs="XO Thames" w:eastAsia="XO Thames"/>
          <w:color w:val="000000" w:themeColor="text1"/>
          <w:sz w:val="24"/>
        </w:rPr>
        <w:t xml:space="preserve">2.1. Право на получение субсидии имеет учреждение, соответствующее на первое число месяца, предшествующего месяцу, в котором планируется принятие решения о предоставлении субсидии, следующим требованиям: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отсутствие просроченной задолженности по возв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рату в бюджет муниципального образования «Петушинский район» субсидий, бюджетных инвестиций, предоставленных в том числе в соответствии с иными правовыми актами, иной просроченной задолженности перед бюджетом муниципального образования «Петушинский район».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2.2. Требования, указанные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Par75  \o "2.1. Право на получение субсидии имеет учреждение, соответствующее на первое число месяца, предшествующего месяцу, в котором планируется принятие решения о предоставлении субсидии, следующим требованиям:"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2.1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Порядка, не применяются в случае предоставления субсидии на осуществление мероприятий по реорганизации или ликвидации учреждения, предотвращение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постановлениями администрации Петушинского района.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bookmarkStart w:id="3" w:name="Par79"/>
      <w:r>
        <w:rPr>
          <w:rFonts w:ascii="XO Thames" w:hAnsi="XO Thames" w:cs="XO Thames" w:eastAsia="XO Thames"/>
          <w:color w:val="000000" w:themeColor="text1"/>
          <w:sz w:val="24"/>
        </w:rPr>
      </w:r>
      <w:bookmarkEnd w:id="3"/>
      <w:r>
        <w:rPr>
          <w:rFonts w:ascii="XO Thames" w:hAnsi="XO Thames" w:cs="XO Thames" w:eastAsia="XO Thames"/>
          <w:color w:val="000000" w:themeColor="text1"/>
          <w:sz w:val="24"/>
        </w:rPr>
        <w:t xml:space="preserve">2.3. Для определения объема субсидий на иные цели учреждение направляет 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в срок 1 августа текущего финансового года в Управление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 образования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 заявку на очередной финансовый год и на плановый период (далее - заявка), к которой прилагаются следую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щие документы: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пояснительная записка, содержащая обоснование необходимости предоставления бюджетных средств на цели, указанные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Par47  \o "1.2. Субсидии на иные цели предоставляются на:"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1.2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Порядка, включая финансово-экономическое обоснование (расчет) суммы субсидии на иные цели, в том числе предварительну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  <w:highlight w:val="white"/>
        </w:rPr>
      </w:pP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-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 информация о наличии утвержденной проектно-сметной документации с положительным заключением государственной экспертизы, перечень объектов, подлежащих ремонту, с приложением к нему акта обследования этих объектов и дефектной ведомости капитальных расходов;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программа мероприятий, в случае если целью предоставления субсидии является проведение мероприятий;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информация о планируемом к приобретению имуществе, в случае если целью предоставления субсидии является приобретение имущества;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иная информация в зависимости от цели предоставления субсидии на иные цели.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bookmarkStart w:id="4" w:name="Par87"/>
      <w:r>
        <w:rPr>
          <w:rFonts w:ascii="XO Thames" w:hAnsi="XO Thames" w:cs="XO Thames" w:eastAsia="XO Thames"/>
          <w:color w:val="000000" w:themeColor="text1"/>
          <w:sz w:val="24"/>
        </w:rPr>
      </w:r>
      <w:bookmarkEnd w:id="4"/>
      <w:r>
        <w:rPr>
          <w:rFonts w:ascii="XO Thames" w:hAnsi="XO Thames" w:cs="XO Thames" w:eastAsia="XO Thames"/>
          <w:color w:val="000000" w:themeColor="text1"/>
          <w:sz w:val="24"/>
        </w:rPr>
        <w:t xml:space="preserve">2.4. Управление образования рассматривает заявку учреждения в течение 20 рабочих дней со дня получения, осуществляет проверку полноты и документальной обоснованности содержащихся в ней сведений.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Управление образования не позднее 1 декабря текущего финансового года принимает решение о предоставлении субсидии на иные цели в форме приказа либо уведомляет учреждение об отказе в предоставлении субсидии.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2.5. Основаниями для отказа учреждению в предоставлении субсидии на иные цели являются: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несоответствие представленных учреждением документов требованиям, установленным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</w:instrText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Par79  \o "2.3. Для определения объема субсидий на иные цели учреждение направляет в срок 1 августа текущего финансового года в Управление заявку на очередной финансовый год и на плановый период (далее - заявка), к которой прилагаются следующие документы:"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пунктом 2.3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Порядка, или непредставление (предоставление не в полном объеме) указанных документов;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недостоверность информации, содержащейся в документах, представленных учреждением;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отсутствие необходимого объема лимитов бюджетных обязательств на предоставление субсидий на иные цели на соответствующий финансовый год (на соответствующий финансовый год и на плановый период), доведенных Управлению образования.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После устранения недостатков, послуживших основанием для отказа в предоставлении субсидии, учреждение вправе представить заявку с приложением документов, указанных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</w:instrText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Par79  \o "2.3. Для определения объема субсидий на иные цели учреждение направляет в срок 1 августа текущего финансового года в Управление заявку на очередной финансовый год и на плановый период (далее - заявка), к которой прилагаются следующие документы:"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2.3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Порядка, на повторное рассмотрение.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Рассмотрение повторно представленной заявки осуществляется в сроки, указанные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Par87  \o "2.4. Управление рассматривает заявку учреждения в течение 20 рабочих дней со дня получения, осуществляет проверку полноты и документальной обоснованности содержащихся в ней сведений."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2.4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2.6. Управление образования утверждает перечень получателей и объем субсидий на иные цели на очередной финансовый год и на плановый период путем издания правового акта в форме приказа.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Перечень получателей и объем субсидий на иные цели на очередной финансовый год и на плановый период утверждается в пределах объемов бюджетных ассигнований на обеспечение расходны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х обязательств, предусмотренных Управлению образования решением Совета народных депутатов Петушинского района о бюджете муниципального образования «Петушинский район» на очередной финансовый год и на плановый период.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2.7. Перечень получателей и объем субсидий на иные цели на очередной финансовый год и на плановый период может быть изменен Управлением образования в очередном финансовом году в случаях: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увеличения или уменьшения объема бюджетных ассигнований, предусмотренных решением Совета народных депутатов Петушинского района о бюджете муниципального образования «Петушинский район» на очередной финансовый год и на плановый период;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выявления дополнительной потребности учреждения в осуществлении расходов, предусмотренных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Par47  \o "1.2. Субсидии на иные цели предоставляются на:"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пунктом 1.2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Порядка, при условии наличия соответствующих бюджетных ассигнований в решении Совета народных депутатов Петушинского района о бюджете муниципального образования «Петушинский район» на очередной финансовый год и на плановый период;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выявления необходимости перераспределения субсидий на иные це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ли между получателями субсидий на иные цели в пределах бюджетных ассигнований, предусмотренных решением Совета народных депутатов Петушинского района о бюджете муниципального образования «Петушинский район» на очередной финансовый год и на плановый период;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внесения соответствующих изменений в мероприятия, направленные на развитие автономного учреждения;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внесения изменений в государственные программы и (или) муниципальные программы и иные нормативные правовые акты, устанавливающие расходное обязательство по предоставлению субсидии на иные цели;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невозможности осуществления учреждением расходов за счет средств субсидии на иные цели в полном объеме.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2.8. Внесение изменений в перечень получателей и объем субсидий на иные ц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ели на очере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дной финансовый год и на плановый период осуществляется Управлением образования на основании заявки учреждения, содержащей финансово-экономическое обоснование увеличения (уменьшения) размера субсидии на иные цели, с приложением документов, предусмотренных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</w:instrText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Par79  \o "2.3. Для определения объема субсидий на иные цели учреждение направляет в срок 1 августа текущего финансового года в Управление заявку на очередной финансовый год и на плановый период (далее - заявка), к которой прилагаются следующие документы:"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пунктом 2.3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2.9. Предоставление субсидии на иные цели осуществляется на основании соглашения о порядке и условиях предоставления субсидии на иные цели, заключаемого между Управлением образования и уч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реждением (далее - соглашение), а также дополнительных соглашений, предусматривающих внесение в него изменений или его расторжение, в соответствии с типовой формой, утвержденной финансовым управлением администрации Петушинского района Владимирской области.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2.10. Обязательными условиями, включаемыми в соглашение, являются: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цели предоставления субсидии с указанием наименования национального проекта (программы), в том числе федерального проекта, входящего в состав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bookmarkStart w:id="5" w:name="Par108"/>
      <w:r>
        <w:rPr>
          <w:rFonts w:ascii="XO Thames" w:hAnsi="XO Thames" w:cs="XO Thames" w:eastAsia="XO Thames"/>
          <w:color w:val="000000" w:themeColor="text1"/>
          <w:sz w:val="24"/>
        </w:rPr>
      </w:r>
      <w:bookmarkEnd w:id="5"/>
      <w:r>
        <w:rPr>
          <w:rFonts w:ascii="XO Thames" w:hAnsi="XO Thames" w:cs="XO Thames" w:eastAsia="XO Thames"/>
          <w:color w:val="000000" w:themeColor="text1"/>
          <w:sz w:val="24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Par47  \o "1.2. Субсидии на иные цели предоставляются на:"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1.2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настоящего Порядка (в случае если субсидия предоставляется в целях реализации такого проекта), и показателей, необходимых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left="0" w:right="0" w:firstLine="567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-</w:t>
      </w: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  <w:t xml:space="preserve"> 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план мероприятий по достижению результатов предоставления субсидии;</w:t>
      </w: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размер субсидии;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сроки (график) перечисления субсидии;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сроки представления отчетности;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основания и порядок внесения изменений в соглашение, в том числе в случае уменьшения Управлению образования как получателю бюджетных средств ранее доведенных лимитов бюджетных обязательств на предоставление субсидии;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  <w:highlight w:val="none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основания д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ля досрочног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о прекращения соглашения по решению Управления образования в одностороннем порядке, в том числе в связи с реорганизацией или ликвидацией учреждения, нарушением учреждением целей и условий предоставления субсидии, установленных Порядком и (или) соглашением;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right="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  <w:highlight w:val="none"/>
        </w:rPr>
      </w:pP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  <w:t xml:space="preserve">           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-</w:t>
      </w: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  <w:t xml:space="preserve"> 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реорганизацией (за исключением реорганизации в форме присоединения) или ликвидацией учреждения;</w:t>
      </w: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</w:r>
      <w:r/>
    </w:p>
    <w:p>
      <w:pPr>
        <w:ind w:right="0"/>
        <w:spacing w:before="0" w:beforeAutospacing="0" w:after="0" w:afterAutospacing="0" w:line="240" w:lineRule="auto"/>
        <w:shd w:val="clear" w:color="ffffff" w:fill="ffffff"/>
        <w:rPr>
          <w:rFonts w:ascii="XO Thames" w:hAnsi="XO Thames" w:cs="XO Thames" w:eastAsia="XO Thames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 w:cs="XO Thames" w:eastAsia="XO Thames"/>
          <w:color w:val="464C55"/>
          <w:sz w:val="24"/>
        </w:rPr>
      </w: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  <w:t xml:space="preserve">        </w:t>
      </w:r>
      <w:r>
        <w:rPr>
          <w:rFonts w:ascii="XO Thames" w:hAnsi="XO Thames" w:cs="XO Thames" w:eastAsia="XO Thames"/>
          <w:color w:val="000000" w:themeColor="text1"/>
          <w:sz w:val="24"/>
          <w:highlight w:val="none"/>
        </w:rPr>
        <w:t xml:space="preserve">  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-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нарушением учреждением целей и условий предоставления субсидии, установленных правовым актом и (или) соглашением;</w:t>
      </w:r>
      <w:r>
        <w:rPr>
          <w:rFonts w:ascii="XO Thames" w:hAnsi="XO Thames" w:cs="XO Thames" w:eastAsia="XO Thames"/>
          <w:sz w:val="24"/>
        </w:rPr>
      </w:r>
      <w:r/>
    </w:p>
    <w:p>
      <w:pPr>
        <w:ind w:right="0"/>
        <w:spacing w:before="0" w:beforeAutospacing="0" w:after="0" w:afterAutospacing="0" w:line="240" w:lineRule="auto"/>
        <w:shd w:val="clear" w:color="ffffff" w:fill="ffffff"/>
        <w:rPr>
          <w:rFonts w:ascii="XO Thames" w:hAnsi="XO Thames" w:cs="XO Thames" w:eastAsia="XO Thames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         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- запрет на расторжение учреждением соглашения в одностороннем порядке;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иные положения (при необходимости).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Положения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Par108  \o "-</w:instrText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пункте 1.2 настоящего Порядка (в случае если субсидия предоставляется в ц</w:instrText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результато..."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абзаца 3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настоящего пункта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2.11. При предоставлении субсидии учреждению на цели, указанные в подпункте 22 пункта 1.2, для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последующего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числе в форме гранта, в соглашение включаются условия, аналогичные положениям, указанным в подпункте «и» пункта 4 Общих требований (если определение указанных лиц планируется в результате отбора), пунктах 6 и 7 Общих требований, в отношении таких иных лиц.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2.12. Размер субсидии на иные цели определяется в соответствии с предоставленными учреждением документами, указанными в 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begin"/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HYPERLINK \l </w:instrText>
      </w:r>
      <w:r>
        <w:rPr>
          <w:rFonts w:ascii="XO Thames" w:hAnsi="XO Thames" w:cs="XO Thames" w:eastAsia="XO Thames"/>
          <w:color w:val="000000" w:themeColor="text1"/>
          <w:sz w:val="24"/>
        </w:rPr>
        <w:instrText xml:space="preserve">Par79  \o "2.3. Для определения объема субсидий на иные цели учреждение направляет в срок 1 августа текущего финансового года в Управление заявку на очередной финансовый год и на плановый период (далее - заявка), к которой прилагаются следующие документы:"</w:instrTex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separate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пункте 2.3</w:t>
      </w:r>
      <w:r>
        <w:rPr>
          <w:rFonts w:ascii="XO Thames" w:hAnsi="XO Thames" w:cs="XO Thames" w:eastAsia="XO Thames"/>
          <w:color w:val="000000" w:themeColor="text1"/>
          <w:sz w:val="24"/>
        </w:rPr>
        <w:fldChar w:fldCharType="end"/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Порядка, которые подтверждают потребность в запрашиваемой субсидии на иные цели.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2.13.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Перечисление субсидии на иные цели осуществляется Управлением образования в соответствии с графиком перечисления субсидий, установленным соглашением (дополнительным соглашением к соглашению), после получения от учреждения заявки на финансирование расходов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за счет средств субсидии с приложением документов, подтверждающих возникновение денежного обязательства, исходя из целей предоставления субсидии, на отдельный лицевой счет учреждения, открытый в Управлении Федерального казначейства по Владимирской области.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  <w:highlight w:val="white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2.14. 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Значения результатов предоставления субсидии на иные цели и показателей, необходимых для достижения результатов предоставления субсидии, установлены муниципальной программой «Разв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итие системы образования муниципального образования «Петушинский район», государственной программой Владимирской области «Развитие образования», националь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ного проекта «Образование», за исключением случаев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  <w:r>
        <w:rPr>
          <w:rFonts w:ascii="XO Thames" w:hAnsi="XO Thames" w:cs="XO Thames" w:eastAsia="XO Thames"/>
          <w:sz w:val="24"/>
          <w:highlight w:val="white"/>
        </w:rPr>
      </w:r>
      <w:r/>
    </w:p>
    <w:p>
      <w:pPr>
        <w:pStyle w:val="926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p>
      <w:pPr>
        <w:pStyle w:val="928"/>
        <w:jc w:val="center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  <w:outlineLvl w:val="1"/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 Порядок осуществления контроля за соблюдением целей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8"/>
        <w:jc w:val="center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и условий предоставления субсидии и ответственность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8"/>
        <w:jc w:val="center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за их несоблюдение и требования к отчетности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3.1. Руководитель учреждения несет ответственность за обоснованность размера субсидии, целевой и эффективный характер использования средств субсидии в соответствии с действующим законодательством.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3.2. Контроль за целевым использованием средств субсидии на иные цели осуществляет Управление, в том числе путем проведения плановых и внеплановых проверок: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по месту нахождения Управления на основании документов и информации, представленных по его запросу учреждением;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по месту нахождения учреждения по документальному и фактическому изучению операций с использованием средств субсидии на иные цели, произведенных учреждением.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Управлением образования, контрольно-ревизионным отделом финансового управления администрации Пету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шинского района Владимирской области и Контрольно-счетным органом Петушинского района (далее - органами муниципального финансового контроля Петушинского района) проводится обязательная проверка соблюдения целей и условий предоставления учреждению субсидии.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3.3. Контроль за соблюдением учреждением целей и условий предоставления субсидии осуществляется органами муниципального финансового контроля Петушинского района в соответствии с бюджетным законодательством Российской Федерации.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3.4. В случае установления по итогам пров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ерок, провед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енных Управлением образования или органами муниципального финансового контроля Петушинского района, фактов нарушения целей и условий предоставления субсидий соответствующие средства подлежат возврату в бюджет муниципального образования «Петушинский район»: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на основании требования Управления - в течение 30 календарных дней со дня получения требования;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- на основании представления и (или) предписания органов муниципального финансового контроля Петушинского района - в сроки, установленные бюджетным законодательством Российской Федерации.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3.5. Не использованн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ые на начало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текущего финансового года остатки субсидий, в отношении которых Управлением образования не принято решение о согласовании потребности в направлении их на те же цели, подлежат перечислению учреждением в бюджет муниципального образования «Петушинский район»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в сроки, установленные финансовым управлением администрации Петушинского района Владимирской области. Если указанные остатки не возвращены учреждением в бюджет муниципального образования «Петушинский район», они подлежат взысканию в установленном порядке.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В случае наличия у учреждения потребности в направлении в текущем финансовом году остатков субсидий, не использованных на 1 января текущего финансового года, на цели, установленные при предоставлении субсидий, учреждение не позднее первых 5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рабочих дней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 текущего финансового года направляет в Управление образования информацию о неисполненных обязательствах, источником финансового обеспечения которых являются указанные субсидии, и копии документов, подтверждающие наличие и объем неисполненных обязательств.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После рассмотрения информации о неисполненных обязательствах учреждения Управление образования в срок не позд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нее первых 10 рабочих дней текущего финансового года принимается решение о согласовании использования остатков целевых средств на цели, ранее установленные условиями их предоставления, в размере, не превышающем размер неисполненных обязательств учреждения.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В соответствии с решением Управления образования о согласовании потребности учреждения в направлении неиспользованных на начало текущего финансового года субсидий на те же цели, принятым по согласовани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ю с финансовым управлением администрации Петушинского района Владимирской области, остатки указанных субсидий могут быть использованы учреждением в текущем финансовом году для финансового обеспечения расходов, соответствующих целям предоставления субсидий.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3.6. При наличии в текущем финансовом году поступлени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й от возврат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а ранее произведенных учреждением выплат, источником финансового обеспечения которых являлись субсидии на иные цели (дебиторская задолженность прошлых лет), Управлением образования принимается решение о разрешении использования учреждением указанных средст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в для достиж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ения целей, установленных при предоставлении субсидий, на основании документов, обосновывающих потребность в направлении на те же цели, предоставленных учреждением в Управление образования в срок, не позднее первых 5 рабочих дней текущего финансового года.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После рассмотрения представленных документов Управление образования в срок не позднее первых 10 рабочих дней текущего финансового года принимается решен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ие об использовании поступлений от возврата ранее произведенных учреждением выплат, источником финансового обеспечения которых являлись субсидии на иные цели (дебиторская задолженность прошлых лет), на цели, ранее установленные условиями их предоставления.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3.7. Порядок и сроки возврата субсидии в случае недостижения результатов, иных показателей (при их установлении).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В случае установления Управлением образования и (или) органами муниципального финансового контроля Петушинского района фактов недостижения результатов, иных показателей (при их установлении), предусмотренных соглашением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, соответств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ующие средства пропорционально величине недостигнутых значений подлежат возврату учреждением в бюджет муниципального образования «Петушинский район» на основании требования Управления образования - в течение 30 календарных дней со дня получения требования.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  <w:highlight w:val="white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3.8. 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Учреждение ежеквартально, не позднее 10 числа месяца, следующего за отчетным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 кварталом, 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представляет в Управление образования отчет об использовании субсидии, достижении результатов, иных показателей (при их установлении) на иные цели по форме, утвержденной приказом финансового управления администрации Петушинского района Владимирской области</w:t>
      </w:r>
      <w:r>
        <w:rPr>
          <w:rFonts w:ascii="XO Thames" w:hAnsi="XO Thames" w:cs="XO Thames" w:eastAsia="XO Thames"/>
          <w:color w:val="000000" w:themeColor="text1"/>
          <w:sz w:val="24"/>
          <w:highlight w:val="white"/>
        </w:rPr>
        <w:t xml:space="preserve">.</w:t>
      </w:r>
      <w:r>
        <w:rPr>
          <w:rFonts w:ascii="XO Thames" w:hAnsi="XO Thames" w:cs="XO Thames" w:eastAsia="XO Thames"/>
          <w:sz w:val="24"/>
          <w:highlight w:val="white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3.9. Управление образования представляет в финансовое 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управление администрации Петушинского района Владимирской области отчетность об использовании субсидии, достижении результатов, иных показателей (при их установлении) на иные цели ежеквартально, не позднее 20 числа месяца, следующего за отчетным кварталом.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Отчет об использовани</w:t>
      </w:r>
      <w:r>
        <w:rPr>
          <w:rFonts w:ascii="XO Thames" w:hAnsi="XO Thames" w:cs="XO Thames" w:eastAsia="XO Thames"/>
          <w:color w:val="000000" w:themeColor="text1"/>
          <w:sz w:val="24"/>
        </w:rPr>
        <w:t xml:space="preserve">и субсидии на иные цели, связанные с реализацией мероприятий, предусмотренных государственными программами и (или) муниципальными программами, включается в состав отчетов об исполнении (о реализации) государственных программ и (или) муниципальных программ.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ind w:firstLine="540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  <w:t xml:space="preserve">3.10. Управление образования вправе устанавливать в соглашении дополнительные формы представления учреждением указанной отчетности и сроки их представления.</w:t>
      </w:r>
      <w:r>
        <w:rPr>
          <w:rFonts w:ascii="XO Thames" w:hAnsi="XO Thames" w:cs="XO Thames" w:eastAsia="XO Thames"/>
          <w:sz w:val="24"/>
        </w:rPr>
      </w:r>
      <w:r/>
    </w:p>
    <w:p>
      <w:pPr>
        <w:pStyle w:val="926"/>
        <w:jc w:val="both"/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XO Thames" w:hAnsi="XO Thames" w:cs="XO Thames" w:eastAsia="XO Thames"/>
          <w:color w:val="000000"/>
          <w:sz w:val="24"/>
        </w:rPr>
      </w:pPr>
      <w:r>
        <w:rPr>
          <w:rFonts w:ascii="XO Thames" w:hAnsi="XO Thames" w:cs="XO Thames" w:eastAsia="XO Thames"/>
          <w:color w:val="000000" w:themeColor="text1"/>
          <w:sz w:val="24"/>
        </w:rPr>
      </w:r>
      <w:r>
        <w:rPr>
          <w:rFonts w:ascii="XO Thames" w:hAnsi="XO Thames" w:cs="XO Thames" w:eastAsia="XO Thames"/>
          <w:sz w:val="24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5" w:h="16838" w:orient="portrait"/>
      <w:pgMar w:top="1134" w:right="567" w:bottom="397" w:left="1418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Wingdings">
    <w:panose1 w:val="05000000000000000000"/>
  </w:font>
  <w:font w:name="Symbol">
    <w:panose1 w:val="05050102000706020507"/>
  </w:font>
  <w:font w:name="Segoe UI">
    <w:panose1 w:val="020B05020405040202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r/>
    <w:r/>
  </w:p>
  <w:p>
    <w:pPr>
      <w:pStyle w:val="776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67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39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11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3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55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27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99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717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711">
    <w:name w:val="Heading 1"/>
    <w:basedOn w:val="710"/>
    <w:next w:val="710"/>
    <w:link w:val="75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12">
    <w:name w:val="Heading 2"/>
    <w:basedOn w:val="710"/>
    <w:next w:val="710"/>
    <w:link w:val="75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13">
    <w:name w:val="Heading 3"/>
    <w:basedOn w:val="710"/>
    <w:next w:val="710"/>
    <w:link w:val="75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14">
    <w:name w:val="Heading 4"/>
    <w:basedOn w:val="710"/>
    <w:next w:val="710"/>
    <w:link w:val="76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5">
    <w:name w:val="Heading 5"/>
    <w:basedOn w:val="710"/>
    <w:next w:val="710"/>
    <w:link w:val="76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basedOn w:val="710"/>
    <w:next w:val="710"/>
    <w:link w:val="76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17">
    <w:name w:val="Heading 7"/>
    <w:basedOn w:val="710"/>
    <w:next w:val="710"/>
    <w:link w:val="76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18">
    <w:name w:val="Heading 8"/>
    <w:basedOn w:val="710"/>
    <w:next w:val="710"/>
    <w:link w:val="76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19">
    <w:name w:val="Heading 9"/>
    <w:basedOn w:val="710"/>
    <w:next w:val="710"/>
    <w:link w:val="76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 w:customStyle="1">
    <w:name w:val="Plain Table 1"/>
    <w:basedOn w:val="72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basedOn w:val="7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basedOn w:val="72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7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basedOn w:val="7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4"/>
    <w:basedOn w:val="72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5 Dark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7 Colorful"/>
    <w:basedOn w:val="72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List Table 1 Light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2"/>
    <w:basedOn w:val="7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3"/>
    <w:basedOn w:val="72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"/>
    <w:basedOn w:val="72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6 Colorful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 w:customStyle="1">
    <w:name w:val="List Table 7 Colorful"/>
    <w:basedOn w:val="72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42" w:customStyle="1">
    <w:name w:val="Heading 1 Char"/>
    <w:basedOn w:val="720"/>
    <w:uiPriority w:val="9"/>
    <w:rPr>
      <w:rFonts w:ascii="Arial" w:hAnsi="Arial" w:cs="Arial" w:eastAsia="Arial"/>
      <w:sz w:val="40"/>
      <w:szCs w:val="40"/>
    </w:rPr>
  </w:style>
  <w:style w:type="character" w:styleId="743" w:customStyle="1">
    <w:name w:val="Heading 2 Char"/>
    <w:basedOn w:val="720"/>
    <w:uiPriority w:val="9"/>
    <w:rPr>
      <w:rFonts w:ascii="Arial" w:hAnsi="Arial" w:cs="Arial" w:eastAsia="Arial"/>
      <w:sz w:val="34"/>
    </w:rPr>
  </w:style>
  <w:style w:type="character" w:styleId="744" w:customStyle="1">
    <w:name w:val="Heading 3 Char"/>
    <w:basedOn w:val="720"/>
    <w:uiPriority w:val="9"/>
    <w:rPr>
      <w:rFonts w:ascii="Arial" w:hAnsi="Arial" w:cs="Arial" w:eastAsia="Arial"/>
      <w:sz w:val="30"/>
      <w:szCs w:val="30"/>
    </w:rPr>
  </w:style>
  <w:style w:type="character" w:styleId="745" w:customStyle="1">
    <w:name w:val="Heading 4 Char"/>
    <w:basedOn w:val="720"/>
    <w:uiPriority w:val="9"/>
    <w:rPr>
      <w:rFonts w:ascii="Arial" w:hAnsi="Arial" w:cs="Arial" w:eastAsia="Arial"/>
      <w:b/>
      <w:bCs/>
      <w:sz w:val="26"/>
      <w:szCs w:val="26"/>
    </w:rPr>
  </w:style>
  <w:style w:type="character" w:styleId="746" w:customStyle="1">
    <w:name w:val="Heading 5 Char"/>
    <w:basedOn w:val="720"/>
    <w:uiPriority w:val="9"/>
    <w:rPr>
      <w:rFonts w:ascii="Arial" w:hAnsi="Arial" w:cs="Arial" w:eastAsia="Arial"/>
      <w:b/>
      <w:bCs/>
      <w:sz w:val="24"/>
      <w:szCs w:val="24"/>
    </w:rPr>
  </w:style>
  <w:style w:type="character" w:styleId="747" w:customStyle="1">
    <w:name w:val="Heading 6 Char"/>
    <w:basedOn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48" w:customStyle="1">
    <w:name w:val="Heading 7 Char"/>
    <w:basedOn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9" w:customStyle="1">
    <w:name w:val="Heading 8 Char"/>
    <w:basedOn w:val="720"/>
    <w:uiPriority w:val="9"/>
    <w:rPr>
      <w:rFonts w:ascii="Arial" w:hAnsi="Arial" w:cs="Arial" w:eastAsia="Arial"/>
      <w:i/>
      <w:iCs/>
      <w:sz w:val="22"/>
      <w:szCs w:val="22"/>
    </w:rPr>
  </w:style>
  <w:style w:type="character" w:styleId="750" w:customStyle="1">
    <w:name w:val="Heading 9 Char"/>
    <w:basedOn w:val="720"/>
    <w:uiPriority w:val="9"/>
    <w:rPr>
      <w:rFonts w:ascii="Arial" w:hAnsi="Arial" w:cs="Arial" w:eastAsia="Arial"/>
      <w:i/>
      <w:iCs/>
      <w:sz w:val="21"/>
      <w:szCs w:val="21"/>
    </w:rPr>
  </w:style>
  <w:style w:type="character" w:styleId="751" w:customStyle="1">
    <w:name w:val="Title Char"/>
    <w:basedOn w:val="720"/>
    <w:uiPriority w:val="10"/>
    <w:rPr>
      <w:sz w:val="48"/>
      <w:szCs w:val="48"/>
    </w:rPr>
  </w:style>
  <w:style w:type="character" w:styleId="752" w:customStyle="1">
    <w:name w:val="Subtitle Char"/>
    <w:basedOn w:val="720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link w:val="711"/>
    <w:uiPriority w:val="9"/>
    <w:rPr>
      <w:rFonts w:ascii="Arial" w:hAnsi="Arial" w:cs="Arial" w:eastAsia="Arial"/>
      <w:sz w:val="40"/>
      <w:szCs w:val="40"/>
    </w:rPr>
  </w:style>
  <w:style w:type="character" w:styleId="758" w:customStyle="1">
    <w:name w:val="Заголовок 2 Знак"/>
    <w:link w:val="712"/>
    <w:uiPriority w:val="9"/>
    <w:rPr>
      <w:rFonts w:ascii="Arial" w:hAnsi="Arial" w:cs="Arial" w:eastAsia="Arial"/>
      <w:sz w:val="34"/>
    </w:rPr>
  </w:style>
  <w:style w:type="character" w:styleId="759" w:customStyle="1">
    <w:name w:val="Заголовок 3 Знак"/>
    <w:link w:val="713"/>
    <w:uiPriority w:val="9"/>
    <w:rPr>
      <w:rFonts w:ascii="Arial" w:hAnsi="Arial" w:cs="Arial" w:eastAsia="Arial"/>
      <w:sz w:val="30"/>
      <w:szCs w:val="30"/>
    </w:rPr>
  </w:style>
  <w:style w:type="character" w:styleId="760" w:customStyle="1">
    <w:name w:val="Заголовок 4 Знак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61" w:customStyle="1">
    <w:name w:val="Заголовок 5 Знак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62" w:customStyle="1">
    <w:name w:val="Заголовок 6 Знак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63" w:customStyle="1">
    <w:name w:val="Заголовок 7 Знак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65" w:customStyle="1">
    <w:name w:val="Заголовок 9 Знак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66">
    <w:name w:val="List Paragraph"/>
    <w:basedOn w:val="710"/>
    <w:pPr>
      <w:contextualSpacing/>
      <w:ind w:left="720"/>
    </w:pPr>
  </w:style>
  <w:style w:type="paragraph" w:styleId="767">
    <w:name w:val="No Spacing"/>
    <w:uiPriority w:val="1"/>
    <w:qFormat/>
    <w:rPr>
      <w:lang w:eastAsia="zh-CN"/>
    </w:rPr>
  </w:style>
  <w:style w:type="paragraph" w:styleId="768">
    <w:name w:val="Title"/>
    <w:basedOn w:val="710"/>
    <w:next w:val="710"/>
    <w:link w:val="769"/>
    <w:uiPriority w:val="10"/>
    <w:qFormat/>
    <w:pPr>
      <w:contextualSpacing/>
      <w:spacing w:before="300"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10"/>
    <w:next w:val="710"/>
    <w:link w:val="771"/>
    <w:uiPriority w:val="11"/>
    <w:qFormat/>
    <w:pPr>
      <w:spacing w:before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10"/>
    <w:next w:val="710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10"/>
    <w:next w:val="710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10"/>
    <w:link w:val="937"/>
    <w:pPr>
      <w:tabs>
        <w:tab w:val="center" w:pos="4677" w:leader="none"/>
        <w:tab w:val="right" w:pos="9355" w:leader="none"/>
      </w:tabs>
    </w:pPr>
  </w:style>
  <w:style w:type="character" w:styleId="777" w:customStyle="1">
    <w:name w:val="Header Char"/>
    <w:uiPriority w:val="99"/>
  </w:style>
  <w:style w:type="paragraph" w:styleId="778">
    <w:name w:val="Footer"/>
    <w:basedOn w:val="710"/>
    <w:link w:val="938"/>
    <w:semiHidden/>
    <w:pPr>
      <w:tabs>
        <w:tab w:val="center" w:pos="4677" w:leader="none"/>
        <w:tab w:val="right" w:pos="9355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10"/>
    <w:next w:val="710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81" w:customStyle="1">
    <w:name w:val="Caption Char"/>
    <w:uiPriority w:val="99"/>
  </w:style>
  <w:style w:type="table" w:styleId="782">
    <w:name w:val="Table Grid"/>
    <w:basedOn w:val="72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10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10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10"/>
    <w:next w:val="710"/>
    <w:uiPriority w:val="39"/>
    <w:unhideWhenUsed/>
    <w:pPr>
      <w:spacing w:after="57"/>
    </w:pPr>
  </w:style>
  <w:style w:type="paragraph" w:styleId="916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917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918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19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20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21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22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23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  <w:rPr>
      <w:lang w:eastAsia="zh-CN"/>
    </w:rPr>
  </w:style>
  <w:style w:type="paragraph" w:styleId="925">
    <w:name w:val="table of figures"/>
    <w:basedOn w:val="710"/>
    <w:next w:val="710"/>
    <w:uiPriority w:val="99"/>
    <w:unhideWhenUsed/>
    <w:pPr>
      <w:spacing w:after="0"/>
    </w:pPr>
  </w:style>
  <w:style w:type="paragraph" w:styleId="926" w:customStyle="1">
    <w:name w:val="ConsPlusNormal"/>
    <w:pPr>
      <w:widowControl w:val="off"/>
    </w:pPr>
    <w:rPr>
      <w:rFonts w:eastAsia="Times New Roman"/>
      <w:sz w:val="22"/>
    </w:rPr>
  </w:style>
  <w:style w:type="paragraph" w:styleId="927" w:customStyle="1">
    <w:name w:val="ConsPlusNonformat"/>
    <w:pPr>
      <w:widowControl w:val="off"/>
    </w:pPr>
    <w:rPr>
      <w:rFonts w:ascii="Courier New" w:hAnsi="Courier New" w:eastAsia="Times New Roman"/>
    </w:rPr>
  </w:style>
  <w:style w:type="paragraph" w:styleId="928" w:customStyle="1">
    <w:name w:val="ConsPlusTitle"/>
    <w:pPr>
      <w:widowControl w:val="off"/>
    </w:pPr>
    <w:rPr>
      <w:rFonts w:eastAsia="Times New Roman"/>
      <w:b/>
      <w:sz w:val="22"/>
    </w:rPr>
  </w:style>
  <w:style w:type="paragraph" w:styleId="929" w:customStyle="1">
    <w:name w:val="ConsPlusCell"/>
    <w:pPr>
      <w:widowControl w:val="off"/>
    </w:pPr>
    <w:rPr>
      <w:rFonts w:ascii="Courier New" w:hAnsi="Courier New" w:eastAsia="Times New Roman"/>
    </w:rPr>
  </w:style>
  <w:style w:type="paragraph" w:styleId="930" w:customStyle="1">
    <w:name w:val="ConsPlusDocList"/>
    <w:pPr>
      <w:widowControl w:val="off"/>
    </w:pPr>
    <w:rPr>
      <w:rFonts w:eastAsia="Times New Roman"/>
      <w:sz w:val="22"/>
    </w:rPr>
  </w:style>
  <w:style w:type="paragraph" w:styleId="931" w:customStyle="1">
    <w:name w:val="ConsPlusTitlePage"/>
    <w:pPr>
      <w:widowControl w:val="off"/>
    </w:pPr>
    <w:rPr>
      <w:rFonts w:ascii="Tahoma" w:hAnsi="Tahoma" w:eastAsia="Times New Roman"/>
    </w:rPr>
  </w:style>
  <w:style w:type="paragraph" w:styleId="932" w:customStyle="1">
    <w:name w:val="ConsPlusJurTerm"/>
    <w:pPr>
      <w:widowControl w:val="off"/>
    </w:pPr>
    <w:rPr>
      <w:rFonts w:ascii="Tahoma" w:hAnsi="Tahoma" w:eastAsia="Times New Roman"/>
      <w:sz w:val="22"/>
    </w:rPr>
  </w:style>
  <w:style w:type="paragraph" w:styleId="933" w:customStyle="1">
    <w:name w:val="ConsPlusTextList"/>
    <w:pPr>
      <w:widowControl w:val="off"/>
    </w:pPr>
    <w:rPr>
      <w:rFonts w:ascii="Arial" w:hAnsi="Arial" w:eastAsia="Times New Roman"/>
    </w:rPr>
  </w:style>
  <w:style w:type="character" w:styleId="934" w:customStyle="1">
    <w:name w:val="Font Style25"/>
    <w:rPr>
      <w:rFonts w:ascii="Times New Roman" w:hAnsi="Times New Roman"/>
      <w:b/>
      <w:bCs/>
      <w:i/>
      <w:iCs/>
      <w:sz w:val="22"/>
      <w:szCs w:val="22"/>
    </w:rPr>
  </w:style>
  <w:style w:type="paragraph" w:styleId="935">
    <w:name w:val="Balloon Text"/>
    <w:basedOn w:val="710"/>
    <w:link w:val="936"/>
    <w:semiHidden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936" w:customStyle="1">
    <w:name w:val="Текст выноски Знак"/>
    <w:link w:val="935"/>
    <w:semiHidden/>
    <w:rPr>
      <w:rFonts w:ascii="Segoe UI" w:hAnsi="Segoe UI"/>
      <w:sz w:val="18"/>
      <w:szCs w:val="18"/>
      <w:lang w:eastAsia="en-US"/>
    </w:rPr>
  </w:style>
  <w:style w:type="character" w:styleId="937" w:customStyle="1">
    <w:name w:val="Верхний колонтитул Знак"/>
    <w:link w:val="776"/>
    <w:rPr>
      <w:sz w:val="22"/>
      <w:szCs w:val="22"/>
      <w:lang w:eastAsia="en-US"/>
    </w:rPr>
  </w:style>
  <w:style w:type="character" w:styleId="938" w:customStyle="1">
    <w:name w:val="Нижний колонтитул Знак"/>
    <w:link w:val="778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revision>27</cp:revision>
  <dcterms:created xsi:type="dcterms:W3CDTF">2025-04-08T05:58:00Z</dcterms:created>
  <dcterms:modified xsi:type="dcterms:W3CDTF">2025-07-08T13:54:43Z</dcterms:modified>
</cp:coreProperties>
</file>