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28" w:rsidRDefault="009A7211" w:rsidP="009A7211">
      <w:pPr>
        <w:spacing w:line="240" w:lineRule="auto"/>
        <w:ind w:right="-284" w:firstLine="0"/>
        <w:jc w:val="center"/>
      </w:pPr>
      <w:r>
        <w:t>КОНТРОЛЬНО-СЧЁ</w:t>
      </w:r>
      <w:r w:rsidR="000B1B28">
        <w:t>ТНЫЙ</w:t>
      </w:r>
      <w:r w:rsidR="00765713">
        <w:t xml:space="preserve"> ОРГАН</w:t>
      </w:r>
      <w:r w:rsidR="000B1B28">
        <w:t xml:space="preserve"> ПЕТУШИНСКОГО РАЙОНА</w:t>
      </w:r>
    </w:p>
    <w:p w:rsidR="000B1B28" w:rsidRPr="009A7211" w:rsidRDefault="000B1B28" w:rsidP="009A7211">
      <w:pPr>
        <w:spacing w:line="240" w:lineRule="auto"/>
        <w:ind w:left="284" w:right="-284"/>
        <w:rPr>
          <w:sz w:val="16"/>
          <w:szCs w:val="16"/>
        </w:rPr>
      </w:pPr>
    </w:p>
    <w:p w:rsidR="000B1B28" w:rsidRDefault="000B1B28" w:rsidP="009A7211">
      <w:pPr>
        <w:pStyle w:val="2"/>
        <w:ind w:left="284" w:right="-284"/>
      </w:pPr>
      <w:r>
        <w:t>информация</w:t>
      </w:r>
    </w:p>
    <w:p w:rsidR="000B1B28" w:rsidRDefault="000B1B28" w:rsidP="009A7211">
      <w:pPr>
        <w:pStyle w:val="2"/>
        <w:ind w:left="284" w:right="-284"/>
        <w:rPr>
          <w:bCs/>
        </w:rPr>
      </w:pPr>
      <w:r w:rsidRPr="00D7111D">
        <w:rPr>
          <w:bCs/>
        </w:rPr>
        <w:t>ОБ ОСНОВНЫХ ИТОГАХ КОНТРОЛЬНОГО МЕРОПРИЯТИЯ</w:t>
      </w:r>
    </w:p>
    <w:p w:rsidR="009A7211" w:rsidRPr="009A7211" w:rsidRDefault="009A7211" w:rsidP="009A7211">
      <w:pPr>
        <w:spacing w:line="240" w:lineRule="auto"/>
        <w:rPr>
          <w:sz w:val="16"/>
          <w:szCs w:val="16"/>
        </w:rPr>
      </w:pPr>
    </w:p>
    <w:p w:rsidR="000B1B28" w:rsidRDefault="005F07A0" w:rsidP="009A7211">
      <w:pPr>
        <w:pStyle w:val="3"/>
        <w:ind w:right="-1"/>
        <w:jc w:val="right"/>
        <w:rPr>
          <w:b w:val="0"/>
          <w:sz w:val="26"/>
          <w:szCs w:val="26"/>
        </w:rPr>
      </w:pPr>
      <w:r w:rsidRPr="009A7211">
        <w:rPr>
          <w:b w:val="0"/>
          <w:sz w:val="26"/>
          <w:szCs w:val="26"/>
        </w:rPr>
        <w:t>30</w:t>
      </w:r>
      <w:r w:rsidR="0062701D" w:rsidRPr="009A7211">
        <w:rPr>
          <w:b w:val="0"/>
          <w:sz w:val="26"/>
          <w:szCs w:val="26"/>
        </w:rPr>
        <w:t>.03.202</w:t>
      </w:r>
      <w:r w:rsidR="00895D2F" w:rsidRPr="009A7211">
        <w:rPr>
          <w:b w:val="0"/>
          <w:sz w:val="26"/>
          <w:szCs w:val="26"/>
        </w:rPr>
        <w:t>1</w:t>
      </w:r>
    </w:p>
    <w:p w:rsidR="009A7211" w:rsidRPr="009A7211" w:rsidRDefault="009A7211" w:rsidP="009A7211">
      <w:pPr>
        <w:spacing w:line="240" w:lineRule="auto"/>
        <w:rPr>
          <w:sz w:val="16"/>
          <w:szCs w:val="16"/>
        </w:rPr>
      </w:pPr>
    </w:p>
    <w:p w:rsidR="000B1B28" w:rsidRPr="009E2E19" w:rsidRDefault="000B1B28" w:rsidP="009A7211">
      <w:pPr>
        <w:spacing w:line="240" w:lineRule="auto"/>
        <w:rPr>
          <w:sz w:val="26"/>
          <w:szCs w:val="26"/>
        </w:rPr>
      </w:pPr>
      <w:proofErr w:type="gramStart"/>
      <w:r w:rsidRPr="00F0167F">
        <w:rPr>
          <w:sz w:val="26"/>
          <w:szCs w:val="26"/>
        </w:rPr>
        <w:t xml:space="preserve">В соответствии с </w:t>
      </w:r>
      <w:r w:rsidR="0057411D" w:rsidRPr="00F0167F">
        <w:rPr>
          <w:sz w:val="26"/>
          <w:szCs w:val="26"/>
        </w:rPr>
        <w:t>пунктом 4.3</w:t>
      </w:r>
      <w:r w:rsidR="001548E2" w:rsidRPr="00F0167F">
        <w:rPr>
          <w:sz w:val="26"/>
          <w:szCs w:val="26"/>
        </w:rPr>
        <w:t>. плана работы контрольно-счетного органа Петушинского района на 202</w:t>
      </w:r>
      <w:r w:rsidR="0057411D" w:rsidRPr="00F0167F">
        <w:rPr>
          <w:sz w:val="26"/>
          <w:szCs w:val="26"/>
        </w:rPr>
        <w:t>1</w:t>
      </w:r>
      <w:r w:rsidR="001548E2" w:rsidRPr="00F0167F">
        <w:rPr>
          <w:sz w:val="26"/>
          <w:szCs w:val="26"/>
        </w:rPr>
        <w:t xml:space="preserve"> год, утвержденного распоряжением МКУ «Контрольно-счетный орган Петушинского района» от </w:t>
      </w:r>
      <w:r w:rsidR="0057411D" w:rsidRPr="00F0167F">
        <w:rPr>
          <w:sz w:val="26"/>
          <w:szCs w:val="26"/>
        </w:rPr>
        <w:t>25</w:t>
      </w:r>
      <w:r w:rsidR="001548E2" w:rsidRPr="00F0167F">
        <w:rPr>
          <w:sz w:val="26"/>
          <w:szCs w:val="26"/>
        </w:rPr>
        <w:t>.1</w:t>
      </w:r>
      <w:r w:rsidR="0057411D" w:rsidRPr="00F0167F">
        <w:rPr>
          <w:sz w:val="26"/>
          <w:szCs w:val="26"/>
        </w:rPr>
        <w:t>2</w:t>
      </w:r>
      <w:r w:rsidR="001548E2" w:rsidRPr="00F0167F">
        <w:rPr>
          <w:sz w:val="26"/>
          <w:szCs w:val="26"/>
        </w:rPr>
        <w:t>.20</w:t>
      </w:r>
      <w:r w:rsidR="0057411D" w:rsidRPr="00F0167F">
        <w:rPr>
          <w:sz w:val="26"/>
          <w:szCs w:val="26"/>
        </w:rPr>
        <w:t>20</w:t>
      </w:r>
      <w:r w:rsidR="001548E2" w:rsidRPr="00F0167F">
        <w:rPr>
          <w:sz w:val="26"/>
          <w:szCs w:val="26"/>
        </w:rPr>
        <w:t xml:space="preserve"> №</w:t>
      </w:r>
      <w:r w:rsidR="0057411D" w:rsidRPr="00F0167F">
        <w:rPr>
          <w:sz w:val="26"/>
          <w:szCs w:val="26"/>
        </w:rPr>
        <w:t>28</w:t>
      </w:r>
      <w:r w:rsidR="009A7211">
        <w:rPr>
          <w:sz w:val="26"/>
          <w:szCs w:val="26"/>
        </w:rPr>
        <w:t>, в марте 2021 года</w:t>
      </w:r>
      <w:r w:rsidR="001548E2" w:rsidRPr="00F0167F">
        <w:rPr>
          <w:sz w:val="26"/>
          <w:szCs w:val="26"/>
        </w:rPr>
        <w:t xml:space="preserve"> </w:t>
      </w:r>
      <w:r w:rsidRPr="00F0167F">
        <w:rPr>
          <w:sz w:val="26"/>
          <w:szCs w:val="26"/>
        </w:rPr>
        <w:t>проведено</w:t>
      </w:r>
      <w:r w:rsidR="0057411D" w:rsidRPr="00F0167F">
        <w:rPr>
          <w:sz w:val="26"/>
          <w:szCs w:val="26"/>
        </w:rPr>
        <w:t xml:space="preserve"> контрольное </w:t>
      </w:r>
      <w:r w:rsidR="0057411D" w:rsidRPr="009E2E19">
        <w:rPr>
          <w:sz w:val="26"/>
          <w:szCs w:val="26"/>
        </w:rPr>
        <w:t xml:space="preserve">мероприятие </w:t>
      </w:r>
      <w:r w:rsidR="0057411D" w:rsidRPr="009E2E19">
        <w:rPr>
          <w:b/>
          <w:sz w:val="26"/>
          <w:szCs w:val="26"/>
        </w:rPr>
        <w:t>«Аудит эффективности использования бюджетных средств, направленных на реализацию муниципальной программы «Развитие физической культуры и спорта в Петушинском районе» в части расходования средств на создание и модернизацию объектов спортивной инфраструктуры</w:t>
      </w:r>
      <w:proofErr w:type="gramEnd"/>
      <w:r w:rsidR="0057411D" w:rsidRPr="009E2E19">
        <w:rPr>
          <w:b/>
          <w:sz w:val="26"/>
          <w:szCs w:val="26"/>
        </w:rPr>
        <w:t xml:space="preserve"> муниципальной собственности для занятий физической культурой и спортом (строительство центра спортивной борьбы) в 2020 году»</w:t>
      </w:r>
      <w:r w:rsidRPr="009E2E19">
        <w:rPr>
          <w:sz w:val="26"/>
          <w:szCs w:val="26"/>
        </w:rPr>
        <w:t>.</w:t>
      </w:r>
    </w:p>
    <w:p w:rsidR="0067371B" w:rsidRPr="00F0167F" w:rsidRDefault="000B1B28" w:rsidP="00DF599A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 xml:space="preserve">Цель (цели) контрольного мероприятия: </w:t>
      </w:r>
      <w:r w:rsidR="00941911" w:rsidRPr="00F0167F">
        <w:rPr>
          <w:sz w:val="26"/>
          <w:szCs w:val="26"/>
        </w:rPr>
        <w:t>проанализировать эффективность и результативность расходования бюджетных средств на строительство объекта муниципальной собственности - центр спортивной борьбы;</w:t>
      </w:r>
    </w:p>
    <w:p w:rsidR="00941911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Критерии оценки эффективности:</w:t>
      </w:r>
    </w:p>
    <w:p w:rsidR="00941911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1. Полнота и своевременность исполнения администрацией Петушинского района требований нормативных правовых актов и соглашения, касающихся работ по строительству объекта муниципальной собственности - центр спортивной борьбы, включая его финансирование;</w:t>
      </w:r>
    </w:p>
    <w:p w:rsidR="00941911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2. Соответствие объемов бюджетных ассигнований доведенных до администрации Петушинского района фактической потребности, исходя из стоимости работ и уровня их освоения подрядными организациями;</w:t>
      </w:r>
    </w:p>
    <w:p w:rsidR="001548E2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 xml:space="preserve">3. Соблюдение графика выполнения строительно-монтажных работ и графика оплаты выполненных работ по строительству  объекта муниципальной собственности - центр спортивной борьбы. </w:t>
      </w:r>
    </w:p>
    <w:p w:rsidR="001548E2" w:rsidRPr="00F0167F" w:rsidRDefault="000B1B28" w:rsidP="00535286">
      <w:pPr>
        <w:spacing w:line="240" w:lineRule="auto"/>
        <w:ind w:right="-284"/>
        <w:rPr>
          <w:sz w:val="26"/>
          <w:szCs w:val="26"/>
        </w:rPr>
      </w:pPr>
      <w:r w:rsidRPr="00F0167F">
        <w:rPr>
          <w:sz w:val="26"/>
          <w:szCs w:val="26"/>
        </w:rPr>
        <w:t xml:space="preserve">Объект (объекты) контрольного мероприятия: </w:t>
      </w:r>
    </w:p>
    <w:p w:rsidR="00941911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1. Администрация Петушинского района – основной объект;</w:t>
      </w:r>
    </w:p>
    <w:p w:rsidR="00941911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2. Муниципальное бюджетное учреждение спортивно-оздоровительный комплекс «Динамо» (при необходимости);</w:t>
      </w:r>
    </w:p>
    <w:p w:rsidR="00941911" w:rsidRPr="00F0167F" w:rsidRDefault="00941911" w:rsidP="00941911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3. Комитет по управлению имуществом Петушинского района (при необходимости).</w:t>
      </w:r>
    </w:p>
    <w:p w:rsidR="000B1B28" w:rsidRPr="00F0167F" w:rsidRDefault="000B1B28" w:rsidP="00535286">
      <w:pPr>
        <w:spacing w:line="240" w:lineRule="auto"/>
        <w:ind w:right="-284"/>
        <w:rPr>
          <w:sz w:val="26"/>
          <w:szCs w:val="26"/>
        </w:rPr>
      </w:pPr>
      <w:r w:rsidRPr="00F0167F">
        <w:rPr>
          <w:sz w:val="26"/>
          <w:szCs w:val="26"/>
        </w:rPr>
        <w:t xml:space="preserve">В результате проведенного контрольного мероприятия выявлено: </w:t>
      </w:r>
    </w:p>
    <w:p w:rsidR="001220A8" w:rsidRPr="00F0167F" w:rsidRDefault="00BE24BC" w:rsidP="0067371B">
      <w:pPr>
        <w:spacing w:line="240" w:lineRule="auto"/>
        <w:ind w:right="-1"/>
        <w:rPr>
          <w:b/>
          <w:sz w:val="26"/>
          <w:szCs w:val="26"/>
        </w:rPr>
      </w:pPr>
      <w:proofErr w:type="gramStart"/>
      <w:r w:rsidRPr="00F0167F">
        <w:rPr>
          <w:sz w:val="26"/>
          <w:szCs w:val="26"/>
        </w:rPr>
        <w:t xml:space="preserve">- </w:t>
      </w:r>
      <w:r w:rsidR="0067371B" w:rsidRPr="00F0167F">
        <w:rPr>
          <w:sz w:val="26"/>
          <w:szCs w:val="26"/>
        </w:rPr>
        <w:t>нарушение пункта 2 статьи 79 БК РФ</w:t>
      </w:r>
      <w:r w:rsidR="0067371B" w:rsidRPr="00F0167F">
        <w:rPr>
          <w:rStyle w:val="a7"/>
          <w:sz w:val="26"/>
          <w:szCs w:val="26"/>
        </w:rPr>
        <w:footnoteReference w:id="1"/>
      </w:r>
      <w:r w:rsidR="0067371B" w:rsidRPr="00F0167F">
        <w:rPr>
          <w:sz w:val="26"/>
          <w:szCs w:val="26"/>
        </w:rPr>
        <w:t xml:space="preserve"> и пункта 4 Порядка о капитальных вложениях</w:t>
      </w:r>
      <w:r w:rsidR="007F4CC3" w:rsidRPr="00F0167F">
        <w:rPr>
          <w:rStyle w:val="a7"/>
          <w:sz w:val="26"/>
          <w:szCs w:val="26"/>
        </w:rPr>
        <w:footnoteReference w:id="2"/>
      </w:r>
      <w:r w:rsidR="0067371B" w:rsidRPr="00F0167F">
        <w:rPr>
          <w:sz w:val="26"/>
          <w:szCs w:val="26"/>
        </w:rPr>
        <w:t xml:space="preserve">, выразившееся в расхождении суммы  на 46 256,83077 тыс. руб. между доведенными до администрации лимитами бюджетных обязательств </w:t>
      </w:r>
      <w:r w:rsidR="0067371B" w:rsidRPr="00F0167F">
        <w:rPr>
          <w:b/>
          <w:sz w:val="26"/>
          <w:szCs w:val="26"/>
        </w:rPr>
        <w:t>(далее – ЛБО)</w:t>
      </w:r>
      <w:r w:rsidR="0067371B" w:rsidRPr="00F0167F">
        <w:rPr>
          <w:sz w:val="26"/>
          <w:szCs w:val="26"/>
        </w:rPr>
        <w:t xml:space="preserve"> с учетом изменений на 2020 год и объемом бюджетных ассигнований, предусмотренных муниципальной программой на строительство центра спортивной борьбы в 2020 году (</w:t>
      </w:r>
      <w:r w:rsidR="0067371B" w:rsidRPr="00F0167F">
        <w:rPr>
          <w:i/>
          <w:sz w:val="26"/>
          <w:szCs w:val="26"/>
        </w:rPr>
        <w:t>пункт 1.3.8. классификатора нарушений, выявляемых в ходе</w:t>
      </w:r>
      <w:proofErr w:type="gramEnd"/>
      <w:r w:rsidR="0067371B" w:rsidRPr="00F0167F">
        <w:rPr>
          <w:i/>
          <w:sz w:val="26"/>
          <w:szCs w:val="26"/>
        </w:rPr>
        <w:t xml:space="preserve"> внешнего государственного аудита (контроля)), </w:t>
      </w:r>
      <w:r w:rsidR="0067371B" w:rsidRPr="00F0167F">
        <w:rPr>
          <w:sz w:val="26"/>
          <w:szCs w:val="26"/>
        </w:rPr>
        <w:t xml:space="preserve">что указывает на признаки административного </w:t>
      </w:r>
      <w:r w:rsidR="0067371B" w:rsidRPr="00F0167F">
        <w:rPr>
          <w:sz w:val="26"/>
          <w:szCs w:val="26"/>
        </w:rPr>
        <w:lastRenderedPageBreak/>
        <w:t>правонарушения ответственность за совершение которого,  предусмотрена частью 1 статьи 15.15.4. «</w:t>
      </w:r>
      <w:r w:rsidR="0067371B" w:rsidRPr="00F0167F">
        <w:rPr>
          <w:bCs/>
          <w:sz w:val="26"/>
          <w:szCs w:val="26"/>
        </w:rPr>
        <w:t>Нарушение условий предоставления бюджетных инвестиций»</w:t>
      </w:r>
      <w:r w:rsidR="0067371B" w:rsidRPr="00F0167F">
        <w:rPr>
          <w:sz w:val="26"/>
          <w:szCs w:val="26"/>
        </w:rPr>
        <w:t xml:space="preserve"> Кодекса Российской Федерации об административных правонарушениях от 30.12.2001 № 195-ФЗ </w:t>
      </w:r>
      <w:r w:rsidR="0067371B" w:rsidRPr="00F0167F">
        <w:rPr>
          <w:b/>
          <w:sz w:val="26"/>
          <w:szCs w:val="26"/>
        </w:rPr>
        <w:t xml:space="preserve">(далее - </w:t>
      </w:r>
      <w:proofErr w:type="spellStart"/>
      <w:r w:rsidR="0067371B" w:rsidRPr="00F0167F">
        <w:rPr>
          <w:b/>
          <w:sz w:val="26"/>
          <w:szCs w:val="26"/>
        </w:rPr>
        <w:t>КоАП</w:t>
      </w:r>
      <w:proofErr w:type="spellEnd"/>
      <w:r w:rsidR="0067371B" w:rsidRPr="00F0167F">
        <w:rPr>
          <w:b/>
          <w:sz w:val="26"/>
          <w:szCs w:val="26"/>
        </w:rPr>
        <w:t xml:space="preserve"> РФ);</w:t>
      </w:r>
    </w:p>
    <w:p w:rsidR="001220A8" w:rsidRPr="00F0167F" w:rsidRDefault="001220A8" w:rsidP="001220A8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F0167F">
        <w:rPr>
          <w:b/>
          <w:sz w:val="26"/>
          <w:szCs w:val="26"/>
        </w:rPr>
        <w:t xml:space="preserve">- </w:t>
      </w:r>
      <w:r w:rsidR="00DD58BA" w:rsidRPr="00F0167F">
        <w:rPr>
          <w:sz w:val="26"/>
          <w:szCs w:val="26"/>
        </w:rPr>
        <w:t>нарушение</w:t>
      </w:r>
      <w:r w:rsidR="00DD58BA" w:rsidRPr="00F0167F">
        <w:rPr>
          <w:b/>
          <w:sz w:val="26"/>
          <w:szCs w:val="26"/>
        </w:rPr>
        <w:t xml:space="preserve"> </w:t>
      </w:r>
      <w:r w:rsidRPr="00F0167F">
        <w:rPr>
          <w:sz w:val="26"/>
          <w:szCs w:val="26"/>
        </w:rPr>
        <w:t xml:space="preserve">пункта 2.1. статьи 217 БК РФ и пункта 3 </w:t>
      </w:r>
      <w:hyperlink w:anchor="Par60" w:history="1">
        <w:r w:rsidRPr="00F0167F">
          <w:rPr>
            <w:sz w:val="26"/>
            <w:szCs w:val="26"/>
          </w:rPr>
          <w:t>Порядка</w:t>
        </w:r>
      </w:hyperlink>
      <w:r w:rsidRPr="00F0167F">
        <w:rPr>
          <w:sz w:val="26"/>
          <w:szCs w:val="26"/>
        </w:rPr>
        <w:t xml:space="preserve"> составления и ведения сводной бюджетной росписи бюджета муниципального образования «Петушинский район» и бюджетных росписей главных распорядителей средств бюджета муниципального образования «Петушинский район» (главных администраторов источников финансирования дефицита бюджета)</w:t>
      </w:r>
      <w:r w:rsidRPr="00F0167F">
        <w:rPr>
          <w:rStyle w:val="a7"/>
          <w:sz w:val="26"/>
          <w:szCs w:val="26"/>
        </w:rPr>
        <w:footnoteReference w:id="3"/>
      </w:r>
      <w:r w:rsidRPr="00F0167F">
        <w:rPr>
          <w:sz w:val="26"/>
          <w:szCs w:val="26"/>
        </w:rPr>
        <w:t xml:space="preserve"> </w:t>
      </w:r>
      <w:r w:rsidRPr="00F0167F">
        <w:rPr>
          <w:i/>
          <w:sz w:val="26"/>
          <w:szCs w:val="26"/>
        </w:rPr>
        <w:t xml:space="preserve">(пункт 1.2.42. классификатора нарушений, выявляемых в ходе внешнего государственного аудита (контроля)), </w:t>
      </w:r>
      <w:r w:rsidRPr="00F0167F">
        <w:rPr>
          <w:sz w:val="26"/>
          <w:szCs w:val="26"/>
        </w:rPr>
        <w:t>выразившееся в расхождении объема бюджетных ассигнований на 11 198,55 тыс</w:t>
      </w:r>
      <w:proofErr w:type="gramEnd"/>
      <w:r w:rsidRPr="00F0167F">
        <w:rPr>
          <w:sz w:val="26"/>
          <w:szCs w:val="26"/>
        </w:rPr>
        <w:t>. руб. между Приложением №6</w:t>
      </w:r>
      <w:r w:rsidRPr="00F0167F">
        <w:rPr>
          <w:rStyle w:val="a7"/>
          <w:sz w:val="26"/>
          <w:szCs w:val="26"/>
        </w:rPr>
        <w:footnoteReference w:id="4"/>
      </w:r>
      <w:r w:rsidRPr="00F0167F">
        <w:rPr>
          <w:sz w:val="26"/>
          <w:szCs w:val="26"/>
        </w:rPr>
        <w:t xml:space="preserve"> к решению Совета народных депутатов Петушинского района от 17.12.2019 №110/14 «О бюджете муниципального образования Петушинский район на 2020 год и на плановый период 2021 и 2022 годов» и сводной бюджетной росписью, утвержденной 23.12.2019 в разрезе наименований расходов;</w:t>
      </w:r>
    </w:p>
    <w:p w:rsidR="001220A8" w:rsidRPr="00F0167F" w:rsidRDefault="001220A8" w:rsidP="001220A8">
      <w:pPr>
        <w:pStyle w:val="a8"/>
        <w:rPr>
          <w:sz w:val="26"/>
          <w:szCs w:val="26"/>
        </w:rPr>
      </w:pPr>
      <w:proofErr w:type="gramStart"/>
      <w:r w:rsidRPr="00F0167F">
        <w:rPr>
          <w:sz w:val="26"/>
          <w:szCs w:val="26"/>
        </w:rPr>
        <w:t xml:space="preserve">- </w:t>
      </w:r>
      <w:r w:rsidR="00DD58BA" w:rsidRPr="00F0167F">
        <w:rPr>
          <w:sz w:val="26"/>
          <w:szCs w:val="26"/>
        </w:rPr>
        <w:t xml:space="preserve">нарушение </w:t>
      </w:r>
      <w:r w:rsidRPr="00F0167F">
        <w:rPr>
          <w:sz w:val="26"/>
          <w:szCs w:val="26"/>
        </w:rPr>
        <w:t>статьи 221 БК РФ, Порядка составления, утверждения и ведения бюджетных смет администрации Петушинского района и подведомственных муниципальных казенных учреждений</w:t>
      </w:r>
      <w:r w:rsidR="00DD58BA" w:rsidRPr="00F0167F">
        <w:rPr>
          <w:rStyle w:val="a7"/>
          <w:sz w:val="26"/>
          <w:szCs w:val="26"/>
        </w:rPr>
        <w:footnoteReference w:id="5"/>
      </w:r>
      <w:r w:rsidRPr="00F0167F">
        <w:rPr>
          <w:sz w:val="26"/>
          <w:szCs w:val="26"/>
        </w:rPr>
        <w:t>, выразившееся в не заполнении графы 7 «Код классификации операций сектора государственного управления» в бюджетной смете, а так же несоблюдении требований по ее ведению (на все изменения, внесенные в показатели ЛБО в проверяемом периоде</w:t>
      </w:r>
      <w:r w:rsidR="00A655D9" w:rsidRPr="00F0167F">
        <w:rPr>
          <w:sz w:val="26"/>
          <w:szCs w:val="26"/>
        </w:rPr>
        <w:t>,</w:t>
      </w:r>
      <w:r w:rsidRPr="00F0167F">
        <w:rPr>
          <w:sz w:val="26"/>
          <w:szCs w:val="26"/>
        </w:rPr>
        <w:t xml:space="preserve"> составлена только одна уточненная бюджетная смета от</w:t>
      </w:r>
      <w:proofErr w:type="gramEnd"/>
      <w:r w:rsidRPr="00F0167F">
        <w:rPr>
          <w:sz w:val="26"/>
          <w:szCs w:val="26"/>
        </w:rPr>
        <w:t xml:space="preserve"> </w:t>
      </w:r>
      <w:proofErr w:type="gramStart"/>
      <w:r w:rsidRPr="00F0167F">
        <w:rPr>
          <w:sz w:val="26"/>
          <w:szCs w:val="26"/>
        </w:rPr>
        <w:t>30.12.2020, наличие которой указанным Порядком не предусмотрено), что содержат признаки административного правонарушения, ответственность за совершение которого предусмотрена частью 2 статьи 15.15.7.</w:t>
      </w:r>
      <w:proofErr w:type="gramEnd"/>
      <w:r w:rsidRPr="00F0167F">
        <w:rPr>
          <w:sz w:val="26"/>
          <w:szCs w:val="26"/>
        </w:rPr>
        <w:t xml:space="preserve"> «</w:t>
      </w:r>
      <w:r w:rsidRPr="00F0167F">
        <w:rPr>
          <w:bCs/>
          <w:sz w:val="26"/>
          <w:szCs w:val="26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</w:t>
      </w:r>
      <w:r w:rsidRPr="00F0167F">
        <w:rPr>
          <w:sz w:val="26"/>
          <w:szCs w:val="26"/>
        </w:rPr>
        <w:t xml:space="preserve"> </w:t>
      </w:r>
      <w:proofErr w:type="spellStart"/>
      <w:r w:rsidRPr="00F0167F">
        <w:rPr>
          <w:sz w:val="26"/>
          <w:szCs w:val="26"/>
        </w:rPr>
        <w:t>КоАП</w:t>
      </w:r>
      <w:proofErr w:type="spellEnd"/>
      <w:r w:rsidRPr="00F0167F">
        <w:rPr>
          <w:sz w:val="26"/>
          <w:szCs w:val="26"/>
        </w:rPr>
        <w:t xml:space="preserve"> РФ (установлено нарушений на общую сумму 92 646,83077 тыс. руб.);</w:t>
      </w:r>
    </w:p>
    <w:p w:rsidR="001220A8" w:rsidRPr="00F0167F" w:rsidRDefault="001220A8" w:rsidP="001220A8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 xml:space="preserve">- </w:t>
      </w:r>
      <w:r w:rsidR="009E1A09" w:rsidRPr="00F0167F">
        <w:rPr>
          <w:sz w:val="26"/>
          <w:szCs w:val="26"/>
        </w:rPr>
        <w:t xml:space="preserve">нарушение </w:t>
      </w:r>
      <w:r w:rsidRPr="00F0167F">
        <w:rPr>
          <w:sz w:val="26"/>
          <w:szCs w:val="26"/>
        </w:rPr>
        <w:t>статьи 139 БК РФ, выразившееся в не исполнении, со стороны администрации, части обязательств по Соглашению от 27.01.2020</w:t>
      </w:r>
      <w:r w:rsidR="009E1A09" w:rsidRPr="00F0167F">
        <w:rPr>
          <w:sz w:val="26"/>
          <w:szCs w:val="26"/>
        </w:rPr>
        <w:t xml:space="preserve"> №01-01/20</w:t>
      </w:r>
      <w:r w:rsidRPr="00F0167F">
        <w:rPr>
          <w:sz w:val="26"/>
          <w:szCs w:val="26"/>
        </w:rPr>
        <w:t>:</w:t>
      </w:r>
    </w:p>
    <w:p w:rsidR="001220A8" w:rsidRPr="00F0167F" w:rsidRDefault="001220A8" w:rsidP="001220A8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- достижение значений результатов использования субсидии;</w:t>
      </w:r>
    </w:p>
    <w:p w:rsidR="001220A8" w:rsidRPr="00F0167F" w:rsidRDefault="001220A8" w:rsidP="001220A8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 xml:space="preserve">- исполнение графика выполнения мероприятий по строительству объектов капитального </w:t>
      </w:r>
      <w:r w:rsidR="008318DA">
        <w:rPr>
          <w:sz w:val="26"/>
          <w:szCs w:val="26"/>
        </w:rPr>
        <w:t>строительства</w:t>
      </w:r>
      <w:r w:rsidRPr="00F0167F">
        <w:rPr>
          <w:sz w:val="26"/>
          <w:szCs w:val="26"/>
        </w:rPr>
        <w:t>;</w:t>
      </w:r>
    </w:p>
    <w:p w:rsidR="001220A8" w:rsidRPr="00F0167F" w:rsidRDefault="001220A8" w:rsidP="001220A8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-  требований к составу расходных обязательств в части ОКПД</w:t>
      </w:r>
      <w:r w:rsidR="001F4FE5">
        <w:rPr>
          <w:rStyle w:val="a7"/>
          <w:sz w:val="26"/>
          <w:szCs w:val="26"/>
        </w:rPr>
        <w:footnoteReference w:id="6"/>
      </w:r>
      <w:r w:rsidRPr="00F0167F">
        <w:rPr>
          <w:sz w:val="26"/>
          <w:szCs w:val="26"/>
        </w:rPr>
        <w:t xml:space="preserve"> и его наименования </w:t>
      </w:r>
      <w:r w:rsidRPr="00F0167F">
        <w:rPr>
          <w:i/>
          <w:sz w:val="26"/>
          <w:szCs w:val="26"/>
        </w:rPr>
        <w:t>(установлено нарушение на сумму 89 244,6 тыс. руб.)</w:t>
      </w:r>
      <w:r w:rsidRPr="00F0167F">
        <w:rPr>
          <w:sz w:val="26"/>
          <w:szCs w:val="26"/>
        </w:rPr>
        <w:t xml:space="preserve">.  </w:t>
      </w:r>
    </w:p>
    <w:p w:rsidR="001220A8" w:rsidRPr="00F0167F" w:rsidRDefault="001220A8" w:rsidP="001220A8">
      <w:pPr>
        <w:pStyle w:val="a8"/>
        <w:rPr>
          <w:i/>
          <w:sz w:val="26"/>
          <w:szCs w:val="26"/>
        </w:rPr>
      </w:pPr>
      <w:r w:rsidRPr="00F0167F">
        <w:rPr>
          <w:sz w:val="26"/>
          <w:szCs w:val="26"/>
        </w:rPr>
        <w:t>Не исполнение обязательств в части ОКПД содержит признаки административного правонарушения, ответственность за совершение которого предусмотрена статьей 15.15.3. «</w:t>
      </w:r>
      <w:r w:rsidRPr="00F0167F">
        <w:rPr>
          <w:bCs/>
          <w:sz w:val="26"/>
          <w:szCs w:val="26"/>
        </w:rPr>
        <w:t xml:space="preserve">Нарушение порядка и (или) условий предоставления межбюджетных трансфертов» </w:t>
      </w:r>
      <w:proofErr w:type="spellStart"/>
      <w:r w:rsidRPr="00F0167F">
        <w:rPr>
          <w:sz w:val="26"/>
          <w:szCs w:val="26"/>
        </w:rPr>
        <w:t>КоАП</w:t>
      </w:r>
      <w:proofErr w:type="spellEnd"/>
      <w:r w:rsidRPr="00F0167F">
        <w:rPr>
          <w:sz w:val="26"/>
          <w:szCs w:val="26"/>
        </w:rPr>
        <w:t xml:space="preserve"> РФ </w:t>
      </w:r>
      <w:r w:rsidRPr="00F0167F">
        <w:rPr>
          <w:i/>
          <w:sz w:val="26"/>
          <w:szCs w:val="26"/>
        </w:rPr>
        <w:t>(пункт 1.2.61. классификатора нарушений, выявляемых в ходе внешнего государственного аудита (контроля)).</w:t>
      </w:r>
    </w:p>
    <w:p w:rsidR="00DF599A" w:rsidRPr="00F0167F" w:rsidRDefault="00DF599A" w:rsidP="00DF599A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0167F">
        <w:rPr>
          <w:sz w:val="26"/>
          <w:szCs w:val="26"/>
        </w:rPr>
        <w:t xml:space="preserve">Нарушение требований пункта 6 статьи 161 БК РФ, выразившееся в отсутствии </w:t>
      </w:r>
      <w:r w:rsidRPr="00F0167F">
        <w:rPr>
          <w:sz w:val="26"/>
          <w:szCs w:val="26"/>
        </w:rPr>
        <w:lastRenderedPageBreak/>
        <w:t>согласования, в соответствии с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нужд, новых условий контракта от 16.03.2020, в том числе по срокам их исполнения в связи с уменьшением ранее доведенных ЛБО, которое привело к невозможности исполнения бюджетных обязательств, вытекающих</w:t>
      </w:r>
      <w:proofErr w:type="gramEnd"/>
      <w:r w:rsidRPr="00F0167F">
        <w:rPr>
          <w:sz w:val="26"/>
          <w:szCs w:val="26"/>
        </w:rPr>
        <w:t xml:space="preserve"> из заключенного контракта, на 2021 год </w:t>
      </w:r>
      <w:r w:rsidRPr="00F0167F">
        <w:rPr>
          <w:i/>
          <w:sz w:val="26"/>
          <w:szCs w:val="26"/>
        </w:rPr>
        <w:t>(установлено нарушение на общую сумму 45 723,56899 тыс. руб.)</w:t>
      </w:r>
      <w:r w:rsidRPr="00F0167F">
        <w:rPr>
          <w:sz w:val="26"/>
          <w:szCs w:val="26"/>
        </w:rPr>
        <w:t>.</w:t>
      </w:r>
    </w:p>
    <w:p w:rsidR="00DF599A" w:rsidRPr="00F0167F" w:rsidRDefault="00393B6F" w:rsidP="00DF599A">
      <w:pPr>
        <w:pStyle w:val="a8"/>
        <w:rPr>
          <w:sz w:val="26"/>
          <w:szCs w:val="26"/>
        </w:rPr>
      </w:pPr>
      <w:r w:rsidRPr="00F0167F">
        <w:rPr>
          <w:sz w:val="26"/>
          <w:szCs w:val="26"/>
        </w:rPr>
        <w:t>В</w:t>
      </w:r>
      <w:r w:rsidR="00DF599A" w:rsidRPr="00F0167F">
        <w:rPr>
          <w:sz w:val="26"/>
          <w:szCs w:val="26"/>
        </w:rPr>
        <w:t xml:space="preserve"> нарушение требований статьи 34 «Принцип эффективности использования бюджетных средств» БК РФ администрацией по направлению контрольного мероприятия были истребовании бюджетные ассигнования, превысившие фактическую потребность на 533,26178 тыс. руб.</w:t>
      </w:r>
    </w:p>
    <w:p w:rsidR="00DF599A" w:rsidRPr="00F0167F" w:rsidRDefault="00DF599A" w:rsidP="00DF599A">
      <w:pPr>
        <w:spacing w:line="240" w:lineRule="auto"/>
        <w:ind w:firstLine="540"/>
        <w:rPr>
          <w:sz w:val="26"/>
          <w:szCs w:val="26"/>
        </w:rPr>
      </w:pPr>
      <w:proofErr w:type="gramStart"/>
      <w:r w:rsidRPr="00F0167F">
        <w:rPr>
          <w:sz w:val="26"/>
          <w:szCs w:val="26"/>
        </w:rPr>
        <w:t xml:space="preserve">По результатам  выезда на строительную площадку центра спортивной борьбы с целью выборочной проверки фактически выполненных подрядчиком и оплаченных заказчиком работ установлено отсутствие части позиций смет </w:t>
      </w:r>
      <w:r w:rsidR="009E1A09" w:rsidRPr="00F0167F">
        <w:rPr>
          <w:sz w:val="26"/>
          <w:szCs w:val="26"/>
        </w:rPr>
        <w:t xml:space="preserve">отраженных в </w:t>
      </w:r>
      <w:r w:rsidRPr="00F0167F">
        <w:rPr>
          <w:sz w:val="26"/>
          <w:szCs w:val="26"/>
        </w:rPr>
        <w:t>акта</w:t>
      </w:r>
      <w:r w:rsidR="009E1A09" w:rsidRPr="00F0167F">
        <w:rPr>
          <w:sz w:val="26"/>
          <w:szCs w:val="26"/>
        </w:rPr>
        <w:t>х</w:t>
      </w:r>
      <w:r w:rsidRPr="00F0167F">
        <w:rPr>
          <w:sz w:val="26"/>
          <w:szCs w:val="26"/>
        </w:rPr>
        <w:t xml:space="preserve"> о приемке выполненных работ (сданы в полном объеме работы по сметам 07-01-04 «Наружное освещение» и 06-03 «Наружные сети газоснабжения», которыми предусмотрено выполнение работ по позициям, фактическое исполнение по которым не установлено</w:t>
      </w:r>
      <w:r w:rsidR="00E3383A" w:rsidRPr="00F0167F">
        <w:rPr>
          <w:sz w:val="26"/>
          <w:szCs w:val="26"/>
        </w:rPr>
        <w:t>)</w:t>
      </w:r>
      <w:r w:rsidRPr="00F0167F">
        <w:rPr>
          <w:sz w:val="26"/>
          <w:szCs w:val="26"/>
        </w:rPr>
        <w:t>.</w:t>
      </w:r>
      <w:proofErr w:type="gramEnd"/>
    </w:p>
    <w:p w:rsidR="00DF599A" w:rsidRPr="00F0167F" w:rsidRDefault="00DF599A" w:rsidP="00DF599A">
      <w:pPr>
        <w:spacing w:line="240" w:lineRule="auto"/>
        <w:rPr>
          <w:sz w:val="26"/>
          <w:szCs w:val="26"/>
        </w:rPr>
      </w:pPr>
      <w:r w:rsidRPr="00F0167F">
        <w:rPr>
          <w:sz w:val="26"/>
          <w:szCs w:val="26"/>
        </w:rPr>
        <w:t>Из изложенного следует, что работы по наружному освещению и наружным сетям газоснабжения не были исполнены подрядчиком в полном объеме, но при этом были приняты должностным лицом организации, осуществляющей   строительный контроль и соответственно заказчиком.</w:t>
      </w:r>
    </w:p>
    <w:p w:rsidR="00DF599A" w:rsidRPr="00F0167F" w:rsidRDefault="00DF599A" w:rsidP="00DF599A">
      <w:pPr>
        <w:spacing w:line="240" w:lineRule="auto"/>
        <w:rPr>
          <w:sz w:val="26"/>
          <w:szCs w:val="26"/>
        </w:rPr>
      </w:pPr>
      <w:r w:rsidRPr="00F0167F">
        <w:rPr>
          <w:sz w:val="26"/>
          <w:szCs w:val="26"/>
        </w:rPr>
        <w:t xml:space="preserve">Указанный факт свидетельствует о незаконном (неправомерном) расходовании денежных средств, а так же нарушении условия </w:t>
      </w:r>
      <w:r w:rsidR="00091861" w:rsidRPr="00F0167F">
        <w:rPr>
          <w:sz w:val="26"/>
          <w:szCs w:val="26"/>
        </w:rPr>
        <w:t xml:space="preserve">муниципального </w:t>
      </w:r>
      <w:r w:rsidRPr="00F0167F">
        <w:rPr>
          <w:sz w:val="26"/>
          <w:szCs w:val="26"/>
        </w:rPr>
        <w:t>контракта</w:t>
      </w:r>
      <w:r w:rsidR="00091861" w:rsidRPr="00F0167F">
        <w:rPr>
          <w:sz w:val="26"/>
          <w:szCs w:val="26"/>
        </w:rPr>
        <w:t xml:space="preserve"> №</w:t>
      </w:r>
      <w:r w:rsidR="00885C7F" w:rsidRPr="00F0167F">
        <w:rPr>
          <w:sz w:val="26"/>
          <w:szCs w:val="26"/>
        </w:rPr>
        <w:t>0128200000120000305_219170</w:t>
      </w:r>
      <w:r w:rsidRPr="00F0167F">
        <w:rPr>
          <w:sz w:val="26"/>
          <w:szCs w:val="26"/>
        </w:rPr>
        <w:t xml:space="preserve"> от 16.03.2020 по пункту 7.2. и требований, установленных </w:t>
      </w:r>
      <w:hyperlink r:id="rId7" w:history="1">
        <w:r w:rsidRPr="00F0167F">
          <w:rPr>
            <w:rStyle w:val="a4"/>
            <w:color w:val="auto"/>
            <w:sz w:val="26"/>
            <w:szCs w:val="26"/>
            <w:u w:val="none"/>
          </w:rPr>
          <w:t>пунктом 1 части 1</w:t>
        </w:r>
      </w:hyperlink>
      <w:r w:rsidRPr="00F0167F">
        <w:rPr>
          <w:sz w:val="26"/>
          <w:szCs w:val="26"/>
        </w:rPr>
        <w:t xml:space="preserve">, </w:t>
      </w:r>
      <w:hyperlink r:id="rId8" w:history="1">
        <w:r w:rsidRPr="00F0167F">
          <w:rPr>
            <w:rStyle w:val="a4"/>
            <w:color w:val="auto"/>
            <w:sz w:val="26"/>
            <w:szCs w:val="26"/>
            <w:u w:val="none"/>
          </w:rPr>
          <w:t>частью 7 статьи 94</w:t>
        </w:r>
      </w:hyperlink>
      <w:r w:rsidRPr="00F0167F">
        <w:rPr>
          <w:sz w:val="26"/>
          <w:szCs w:val="26"/>
        </w:rPr>
        <w:t xml:space="preserve"> Федерального закона</w:t>
      </w:r>
      <w:r w:rsidR="00885C7F" w:rsidRPr="00F0167F">
        <w:rPr>
          <w:rStyle w:val="a7"/>
          <w:sz w:val="26"/>
          <w:szCs w:val="26"/>
        </w:rPr>
        <w:footnoteReference w:id="7"/>
      </w:r>
      <w:r w:rsidRPr="00F0167F">
        <w:rPr>
          <w:sz w:val="26"/>
          <w:szCs w:val="26"/>
        </w:rPr>
        <w:t xml:space="preserve"> </w:t>
      </w:r>
      <w:r w:rsidR="00885C7F" w:rsidRPr="00F0167F">
        <w:rPr>
          <w:sz w:val="26"/>
          <w:szCs w:val="26"/>
        </w:rPr>
        <w:t xml:space="preserve">от 05.04.2013 </w:t>
      </w:r>
      <w:r w:rsidRPr="00F0167F">
        <w:rPr>
          <w:sz w:val="26"/>
          <w:szCs w:val="26"/>
        </w:rPr>
        <w:t>№44-ФЗ.</w:t>
      </w:r>
    </w:p>
    <w:p w:rsidR="00DF599A" w:rsidRPr="00F0167F" w:rsidRDefault="00DF599A" w:rsidP="00393B6F">
      <w:pPr>
        <w:spacing w:line="240" w:lineRule="auto"/>
        <w:ind w:firstLine="540"/>
        <w:rPr>
          <w:sz w:val="26"/>
          <w:szCs w:val="26"/>
        </w:rPr>
      </w:pPr>
      <w:r w:rsidRPr="00F0167F">
        <w:rPr>
          <w:sz w:val="26"/>
          <w:szCs w:val="26"/>
        </w:rPr>
        <w:t>Примерный объем бюджетных средств израсходованных незаконно (неправомерно) составил 263 133,58 руб.</w:t>
      </w:r>
      <w:r w:rsidR="00393B6F" w:rsidRPr="00F0167F">
        <w:rPr>
          <w:sz w:val="26"/>
          <w:szCs w:val="26"/>
        </w:rPr>
        <w:t xml:space="preserve">, что </w:t>
      </w:r>
      <w:r w:rsidRPr="00F0167F">
        <w:rPr>
          <w:sz w:val="26"/>
          <w:szCs w:val="26"/>
        </w:rPr>
        <w:t xml:space="preserve">указывает на ненадлежащее исполнение условий Соглашения от 27.01.2020 </w:t>
      </w:r>
      <w:r w:rsidRPr="00F0167F">
        <w:rPr>
          <w:i/>
          <w:sz w:val="26"/>
          <w:szCs w:val="26"/>
        </w:rPr>
        <w:t>(пункт 1.2.102.В классификатора нарушений, выявляемых в ходе внешнего государственного аудита (контроля)).</w:t>
      </w:r>
    </w:p>
    <w:p w:rsidR="00DF599A" w:rsidRPr="00F0167F" w:rsidRDefault="00E3383A" w:rsidP="00E3383A">
      <w:pPr>
        <w:spacing w:line="240" w:lineRule="auto"/>
        <w:rPr>
          <w:sz w:val="26"/>
          <w:szCs w:val="26"/>
        </w:rPr>
      </w:pPr>
      <w:r w:rsidRPr="00F0167F">
        <w:rPr>
          <w:sz w:val="26"/>
          <w:szCs w:val="26"/>
        </w:rPr>
        <w:t>Помимо этого установлено, что строительство объекта не завершено в срок (31.01.2021), что свидетельствует о ненадлежащем исполнении условий контракта со стороны подрядчика.</w:t>
      </w:r>
    </w:p>
    <w:p w:rsidR="000B1B28" w:rsidRPr="00F0167F" w:rsidRDefault="00393B6F" w:rsidP="001308F8">
      <w:pPr>
        <w:spacing w:line="240" w:lineRule="auto"/>
        <w:ind w:right="-1"/>
        <w:rPr>
          <w:sz w:val="26"/>
          <w:szCs w:val="26"/>
        </w:rPr>
      </w:pPr>
      <w:r w:rsidRPr="00F0167F">
        <w:rPr>
          <w:sz w:val="26"/>
          <w:szCs w:val="26"/>
        </w:rPr>
        <w:t>Таким образом</w:t>
      </w:r>
      <w:r w:rsidR="001308F8" w:rsidRPr="00F0167F">
        <w:rPr>
          <w:sz w:val="26"/>
          <w:szCs w:val="26"/>
        </w:rPr>
        <w:t>,</w:t>
      </w:r>
      <w:r w:rsidR="000362F2" w:rsidRPr="00F0167F">
        <w:rPr>
          <w:sz w:val="26"/>
          <w:szCs w:val="26"/>
        </w:rPr>
        <w:t xml:space="preserve"> администрацией не достигнуты значения результатов, установленные Соглашением от 27.01.2020 и региональн</w:t>
      </w:r>
      <w:r w:rsidRPr="00F0167F">
        <w:rPr>
          <w:sz w:val="26"/>
          <w:szCs w:val="26"/>
        </w:rPr>
        <w:t>ым проектом</w:t>
      </w:r>
      <w:r w:rsidR="000362F2" w:rsidRPr="00F0167F">
        <w:rPr>
          <w:sz w:val="26"/>
          <w:szCs w:val="26"/>
        </w:rPr>
        <w:t xml:space="preserve"> «Спорт-нор</w:t>
      </w:r>
      <w:r w:rsidRPr="00F0167F">
        <w:rPr>
          <w:sz w:val="26"/>
          <w:szCs w:val="26"/>
        </w:rPr>
        <w:t>ма жизни»</w:t>
      </w:r>
      <w:r w:rsidR="007F014B">
        <w:rPr>
          <w:sz w:val="26"/>
          <w:szCs w:val="26"/>
        </w:rPr>
        <w:t xml:space="preserve"> - национального проекта «Демография»</w:t>
      </w:r>
      <w:r w:rsidR="00F865D9" w:rsidRPr="00F0167F">
        <w:rPr>
          <w:sz w:val="26"/>
          <w:szCs w:val="26"/>
        </w:rPr>
        <w:t>.</w:t>
      </w:r>
    </w:p>
    <w:p w:rsidR="00393B6F" w:rsidRPr="00F0167F" w:rsidRDefault="00393B6F" w:rsidP="00393B6F">
      <w:pPr>
        <w:spacing w:line="240" w:lineRule="auto"/>
        <w:ind w:right="-284"/>
        <w:rPr>
          <w:sz w:val="26"/>
          <w:szCs w:val="26"/>
        </w:rPr>
      </w:pPr>
    </w:p>
    <w:p w:rsidR="00F865D9" w:rsidRPr="00F0167F" w:rsidRDefault="00F865D9" w:rsidP="00393B6F">
      <w:pPr>
        <w:spacing w:line="240" w:lineRule="auto"/>
        <w:ind w:right="-284"/>
        <w:rPr>
          <w:sz w:val="26"/>
          <w:szCs w:val="26"/>
        </w:rPr>
      </w:pPr>
    </w:p>
    <w:p w:rsidR="00F865D9" w:rsidRPr="00F0167F" w:rsidRDefault="00F865D9" w:rsidP="00393B6F">
      <w:pPr>
        <w:spacing w:line="240" w:lineRule="auto"/>
        <w:ind w:right="-284"/>
        <w:rPr>
          <w:sz w:val="26"/>
          <w:szCs w:val="26"/>
        </w:rPr>
      </w:pPr>
    </w:p>
    <w:p w:rsidR="00F865D9" w:rsidRPr="00F0167F" w:rsidRDefault="00F865D9" w:rsidP="00393B6F">
      <w:pPr>
        <w:spacing w:line="240" w:lineRule="auto"/>
        <w:ind w:right="-284"/>
        <w:rPr>
          <w:sz w:val="26"/>
          <w:szCs w:val="26"/>
        </w:rPr>
      </w:pPr>
    </w:p>
    <w:tbl>
      <w:tblPr>
        <w:tblW w:w="9935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691"/>
        <w:gridCol w:w="5244"/>
      </w:tblGrid>
      <w:tr w:rsidR="00820F34" w:rsidRPr="00F0167F" w:rsidTr="003B68F6">
        <w:trPr>
          <w:cantSplit/>
          <w:trHeight w:val="332"/>
        </w:trPr>
        <w:tc>
          <w:tcPr>
            <w:tcW w:w="4691" w:type="dxa"/>
          </w:tcPr>
          <w:p w:rsidR="00820F34" w:rsidRPr="00F0167F" w:rsidRDefault="00820F34" w:rsidP="00393B6F">
            <w:pPr>
              <w:pStyle w:val="1"/>
              <w:rPr>
                <w:sz w:val="26"/>
                <w:szCs w:val="26"/>
              </w:rPr>
            </w:pPr>
            <w:r w:rsidRPr="00F0167F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244" w:type="dxa"/>
          </w:tcPr>
          <w:p w:rsidR="00820F34" w:rsidRPr="00F0167F" w:rsidRDefault="00535286" w:rsidP="001308F8">
            <w:pPr>
              <w:pStyle w:val="a3"/>
              <w:ind w:right="-85"/>
              <w:rPr>
                <w:sz w:val="26"/>
                <w:szCs w:val="26"/>
              </w:rPr>
            </w:pPr>
            <w:r w:rsidRPr="00F0167F">
              <w:rPr>
                <w:sz w:val="26"/>
                <w:szCs w:val="26"/>
              </w:rPr>
              <w:t xml:space="preserve">                   </w:t>
            </w:r>
            <w:r w:rsidR="00820F34" w:rsidRPr="00F0167F">
              <w:rPr>
                <w:sz w:val="26"/>
                <w:szCs w:val="26"/>
              </w:rPr>
              <w:t>О.М. Гаранина</w:t>
            </w:r>
          </w:p>
        </w:tc>
      </w:tr>
    </w:tbl>
    <w:p w:rsidR="000B1B28" w:rsidRPr="00F0167F" w:rsidRDefault="000B1B28" w:rsidP="000B1B28">
      <w:pPr>
        <w:ind w:left="284" w:right="-284"/>
        <w:rPr>
          <w:sz w:val="26"/>
          <w:szCs w:val="26"/>
        </w:rPr>
      </w:pPr>
    </w:p>
    <w:p w:rsidR="004940E4" w:rsidRPr="00F0167F" w:rsidRDefault="004940E4">
      <w:pPr>
        <w:rPr>
          <w:sz w:val="26"/>
          <w:szCs w:val="26"/>
        </w:rPr>
      </w:pPr>
    </w:p>
    <w:sectPr w:rsidR="004940E4" w:rsidRPr="00F0167F" w:rsidSect="00F865D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11" w:rsidRDefault="009A7211" w:rsidP="00765713">
      <w:pPr>
        <w:spacing w:line="240" w:lineRule="auto"/>
      </w:pPr>
      <w:r>
        <w:separator/>
      </w:r>
    </w:p>
  </w:endnote>
  <w:endnote w:type="continuationSeparator" w:id="0">
    <w:p w:rsidR="009A7211" w:rsidRDefault="009A7211" w:rsidP="0076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11" w:rsidRDefault="009A7211" w:rsidP="00765713">
      <w:pPr>
        <w:spacing w:line="240" w:lineRule="auto"/>
      </w:pPr>
      <w:r>
        <w:separator/>
      </w:r>
    </w:p>
  </w:footnote>
  <w:footnote w:type="continuationSeparator" w:id="0">
    <w:p w:rsidR="009A7211" w:rsidRDefault="009A7211" w:rsidP="00765713">
      <w:pPr>
        <w:spacing w:line="240" w:lineRule="auto"/>
      </w:pPr>
      <w:r>
        <w:continuationSeparator/>
      </w:r>
    </w:p>
  </w:footnote>
  <w:footnote w:id="1">
    <w:p w:rsidR="009A7211" w:rsidRPr="0067371B" w:rsidRDefault="009A7211" w:rsidP="00F865D9">
      <w:pPr>
        <w:pStyle w:val="a5"/>
        <w:ind w:firstLine="0"/>
      </w:pPr>
      <w:r w:rsidRPr="001308F8">
        <w:rPr>
          <w:rStyle w:val="a7"/>
        </w:rPr>
        <w:footnoteRef/>
      </w:r>
      <w:r w:rsidRPr="001308F8">
        <w:t xml:space="preserve"> Бюджетный кодекс Российской Федерации от 31.07.1998 № 145-ФЗ (по тексту –</w:t>
      </w:r>
      <w:r>
        <w:t xml:space="preserve"> БК </w:t>
      </w:r>
      <w:r w:rsidRPr="001308F8">
        <w:t>Р</w:t>
      </w:r>
      <w:r>
        <w:t>Ф</w:t>
      </w:r>
      <w:r w:rsidRPr="001308F8">
        <w:t>);</w:t>
      </w:r>
      <w:r w:rsidRPr="0067371B">
        <w:t xml:space="preserve"> </w:t>
      </w:r>
    </w:p>
  </w:footnote>
  <w:footnote w:id="2">
    <w:p w:rsidR="009A7211" w:rsidRDefault="009A7211" w:rsidP="00F865D9">
      <w:pPr>
        <w:pStyle w:val="a5"/>
        <w:ind w:firstLine="0"/>
      </w:pPr>
      <w:r>
        <w:rPr>
          <w:rStyle w:val="a7"/>
        </w:rPr>
        <w:footnoteRef/>
      </w:r>
      <w:r>
        <w:t xml:space="preserve"> Порядок осуществления капитальных вложений в объекты муниципальной собственности муниципального образования «Петушинский район» за счет средств бюджета муниципального образования «Петушинский район» утвержден постановлением администрации Петушинского района от 20.11.2018 №2394   </w:t>
      </w:r>
    </w:p>
  </w:footnote>
  <w:footnote w:id="3">
    <w:p w:rsidR="009A7211" w:rsidRDefault="009A7211" w:rsidP="001220A8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308F8">
        <w:t xml:space="preserve">утвержден приказом финансового управления администрации Петушинского района от 21.12.2015 №51 </w:t>
      </w:r>
      <w:r w:rsidRPr="001308F8">
        <w:rPr>
          <w:b/>
        </w:rPr>
        <w:t>(далее – Порядок о бюджетной росписи)</w:t>
      </w:r>
      <w:r w:rsidRPr="001308F8">
        <w:t>;</w:t>
      </w:r>
      <w:r>
        <w:t xml:space="preserve">   </w:t>
      </w:r>
    </w:p>
  </w:footnote>
  <w:footnote w:id="4">
    <w:p w:rsidR="009A7211" w:rsidRPr="00C81E3A" w:rsidRDefault="009A7211" w:rsidP="001220A8">
      <w:pPr>
        <w:pStyle w:val="a5"/>
        <w:ind w:firstLine="0"/>
      </w:pPr>
      <w:r>
        <w:rPr>
          <w:rStyle w:val="a7"/>
        </w:rPr>
        <w:footnoteRef/>
      </w:r>
      <w:r>
        <w:t xml:space="preserve"> «</w:t>
      </w:r>
      <w:r w:rsidRPr="00C81E3A">
        <w:t>Распределение бюджетных ассигнований по разделам, подразделам, целевым статьям, группам видов расходов классификации расходов на 2020 год  и на плановый период 2021 и 2022 годов</w:t>
      </w:r>
      <w:r>
        <w:t>»</w:t>
      </w:r>
      <w:r w:rsidRPr="00C81E3A">
        <w:t>;</w:t>
      </w:r>
    </w:p>
  </w:footnote>
  <w:footnote w:id="5">
    <w:p w:rsidR="009A7211" w:rsidRPr="001F4FE5" w:rsidRDefault="009A7211" w:rsidP="00DD58BA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szCs w:val="28"/>
        </w:rPr>
        <w:t>утвержден</w:t>
      </w:r>
      <w:proofErr w:type="gramEnd"/>
      <w:r w:rsidRPr="003D39F7">
        <w:rPr>
          <w:szCs w:val="28"/>
        </w:rPr>
        <w:t xml:space="preserve"> распоряжением администрации Петушинского района от 29.12.2018 №60-р</w:t>
      </w:r>
      <w:r w:rsidRPr="001F4FE5">
        <w:rPr>
          <w:szCs w:val="28"/>
        </w:rPr>
        <w:t>;</w:t>
      </w:r>
    </w:p>
  </w:footnote>
  <w:footnote w:id="6">
    <w:p w:rsidR="009A7211" w:rsidRPr="001F4FE5" w:rsidRDefault="009A7211" w:rsidP="001F4FE5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F4FE5">
        <w:t xml:space="preserve"> </w:t>
      </w:r>
      <w:r>
        <w:t xml:space="preserve">Изменение 33/2018 ОКПД 2 Общероссийский классификатор продукции по видам экономической деятельности ОК 034-2014 (КПЕС 2008). </w:t>
      </w:r>
    </w:p>
  </w:footnote>
  <w:footnote w:id="7">
    <w:p w:rsidR="009A7211" w:rsidRDefault="009A7211" w:rsidP="00885C7F">
      <w:pPr>
        <w:pStyle w:val="a5"/>
        <w:ind w:firstLine="0"/>
      </w:pPr>
      <w:r>
        <w:rPr>
          <w:rStyle w:val="a7"/>
        </w:rPr>
        <w:footnoteRef/>
      </w:r>
      <w:r>
        <w:t xml:space="preserve"> «О контрактной системе в сфере закупок товаров, работ, услуг для обеспечения государственных и муниципальных нужд».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499"/>
      <w:docPartObj>
        <w:docPartGallery w:val="Page Numbers (Top of Page)"/>
        <w:docPartUnique/>
      </w:docPartObj>
    </w:sdtPr>
    <w:sdtContent>
      <w:p w:rsidR="009A7211" w:rsidRDefault="009A7211">
        <w:pPr>
          <w:pStyle w:val="a9"/>
          <w:jc w:val="center"/>
        </w:pPr>
        <w:fldSimple w:instr=" PAGE   \* MERGEFORMAT ">
          <w:r w:rsidR="009E2E19">
            <w:rPr>
              <w:noProof/>
            </w:rPr>
            <w:t>3</w:t>
          </w:r>
        </w:fldSimple>
      </w:p>
    </w:sdtContent>
  </w:sdt>
  <w:p w:rsidR="009A7211" w:rsidRDefault="009A72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28"/>
    <w:rsid w:val="00034841"/>
    <w:rsid w:val="000362F2"/>
    <w:rsid w:val="00091861"/>
    <w:rsid w:val="000B1B28"/>
    <w:rsid w:val="001220A8"/>
    <w:rsid w:val="001308F8"/>
    <w:rsid w:val="001548E2"/>
    <w:rsid w:val="001F4FE5"/>
    <w:rsid w:val="002857B9"/>
    <w:rsid w:val="00287E4F"/>
    <w:rsid w:val="002A2D89"/>
    <w:rsid w:val="002F5E1E"/>
    <w:rsid w:val="00393B6F"/>
    <w:rsid w:val="003B68F6"/>
    <w:rsid w:val="003C7680"/>
    <w:rsid w:val="003D39F7"/>
    <w:rsid w:val="003F13B4"/>
    <w:rsid w:val="004246B2"/>
    <w:rsid w:val="00440270"/>
    <w:rsid w:val="00443815"/>
    <w:rsid w:val="004675AB"/>
    <w:rsid w:val="004940E4"/>
    <w:rsid w:val="00535286"/>
    <w:rsid w:val="0057411D"/>
    <w:rsid w:val="005D2835"/>
    <w:rsid w:val="005F07A0"/>
    <w:rsid w:val="0062701D"/>
    <w:rsid w:val="0067371B"/>
    <w:rsid w:val="006D73D0"/>
    <w:rsid w:val="00765713"/>
    <w:rsid w:val="00766656"/>
    <w:rsid w:val="00780ED6"/>
    <w:rsid w:val="00792C20"/>
    <w:rsid w:val="007C3104"/>
    <w:rsid w:val="007F014B"/>
    <w:rsid w:val="007F4CC3"/>
    <w:rsid w:val="00820F34"/>
    <w:rsid w:val="008318DA"/>
    <w:rsid w:val="008653A7"/>
    <w:rsid w:val="00885C7F"/>
    <w:rsid w:val="00895D2F"/>
    <w:rsid w:val="008B3A23"/>
    <w:rsid w:val="009369AF"/>
    <w:rsid w:val="00941911"/>
    <w:rsid w:val="00992410"/>
    <w:rsid w:val="009A7211"/>
    <w:rsid w:val="009E1A09"/>
    <w:rsid w:val="009E2E19"/>
    <w:rsid w:val="00A655D9"/>
    <w:rsid w:val="00AB6534"/>
    <w:rsid w:val="00B83912"/>
    <w:rsid w:val="00BE24BC"/>
    <w:rsid w:val="00D92FD4"/>
    <w:rsid w:val="00DC6BFC"/>
    <w:rsid w:val="00DD58BA"/>
    <w:rsid w:val="00DF599A"/>
    <w:rsid w:val="00E3383A"/>
    <w:rsid w:val="00F0167F"/>
    <w:rsid w:val="00F30BF2"/>
    <w:rsid w:val="00F352DF"/>
    <w:rsid w:val="00F37E8B"/>
    <w:rsid w:val="00F55756"/>
    <w:rsid w:val="00F66D76"/>
    <w:rsid w:val="00F738E9"/>
    <w:rsid w:val="00F865D9"/>
    <w:rsid w:val="00FB4D9F"/>
    <w:rsid w:val="00FC4A1E"/>
    <w:rsid w:val="00FD5D5F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8"/>
    <w:pPr>
      <w:spacing w:line="360" w:lineRule="auto"/>
      <w:ind w:firstLine="709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B2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B1B2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B28"/>
    <w:rPr>
      <w:rFonts w:eastAsia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B28"/>
    <w:rPr>
      <w:rFonts w:eastAsia="Times New Roman"/>
      <w:b/>
      <w:snapToGrid w:val="0"/>
      <w:sz w:val="28"/>
      <w:szCs w:val="28"/>
    </w:rPr>
  </w:style>
  <w:style w:type="paragraph" w:customStyle="1" w:styleId="a3">
    <w:name w:val="подпись"/>
    <w:basedOn w:val="a"/>
    <w:rsid w:val="000B1B2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0B1B2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styleId="a4">
    <w:name w:val="Hyperlink"/>
    <w:basedOn w:val="a0"/>
    <w:uiPriority w:val="99"/>
    <w:semiHidden/>
    <w:unhideWhenUsed/>
    <w:rsid w:val="00765713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65713"/>
    <w:pPr>
      <w:spacing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71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65713"/>
    <w:rPr>
      <w:vertAlign w:val="superscript"/>
    </w:rPr>
  </w:style>
  <w:style w:type="paragraph" w:styleId="a8">
    <w:name w:val="No Spacing"/>
    <w:uiPriority w:val="1"/>
    <w:qFormat/>
    <w:rsid w:val="00765713"/>
    <w:pPr>
      <w:ind w:firstLine="709"/>
    </w:pPr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E24B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4BC"/>
    <w:rPr>
      <w:rFonts w:eastAsia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24B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24BC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1220A8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F589931EDCDD7EFAE72B31734E0E634&amp;req=doc&amp;base=RZR&amp;n=377767&amp;dst=101300&amp;fld=134&amp;REFFIELD=134&amp;REFDST=100066&amp;REFDOC=366701&amp;REFBASE=RZR&amp;stat=refcode%3D10881%3Bdstident%3D101300%3Bindex%3D119&amp;date=11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F589931EDCDD7EFAE72B31734E0E634&amp;req=doc&amp;base=RZR&amp;n=377767&amp;dst=101292&amp;fld=134&amp;REFFIELD=134&amp;REFDST=100066&amp;REFDOC=366701&amp;REFBASE=RZR&amp;stat=refcode%3D10881%3Bdstident%3D101292%3Bindex%3D119&amp;date=11.03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7282-F0A0-4263-9643-4B8F29F5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KSO1</cp:lastModifiedBy>
  <cp:revision>79</cp:revision>
  <cp:lastPrinted>2021-03-30T13:00:00Z</cp:lastPrinted>
  <dcterms:created xsi:type="dcterms:W3CDTF">2020-03-13T06:52:00Z</dcterms:created>
  <dcterms:modified xsi:type="dcterms:W3CDTF">2021-04-12T13:22:00Z</dcterms:modified>
</cp:coreProperties>
</file>